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pict>
          <v:shape id="_x0000_i1025" o:spt="136" type="#_x0000_t136" style="height:30.75pt;width:376.5pt;" fillcolor="#FF0000" filled="t" stroked="t" coordsize="21600,21600">
            <v:path/>
            <v:fill on="t" focussize="0,0"/>
            <v:stroke color="#FF0000"/>
            <v:imagedata o:title=""/>
            <o:lock v:ext="edit"/>
            <v:textpath on="t" fitshape="t" fitpath="t" trim="t" xscale="f" string="中共上海电力大学委员会文件" style="font-family:宋体;font-size:32pt;v-same-letter-heights:t;v-text-align:center;"/>
            <w10:wrap type="none"/>
            <w10:anchorlock/>
          </v:shape>
        </w:pict>
      </w:r>
    </w:p>
    <w:p>
      <w:pPr>
        <w:spacing w:line="280" w:lineRule="exact"/>
      </w:pPr>
    </w:p>
    <w:p>
      <w:pPr>
        <w:spacing w:line="280" w:lineRule="exact"/>
        <w:jc w:val="center"/>
        <w:rPr>
          <w:rFonts w:ascii="宋体" w:hAnsi="宋体"/>
          <w:sz w:val="28"/>
          <w:szCs w:val="28"/>
        </w:rPr>
      </w:pPr>
      <w:r>
        <w:rPr>
          <w:rFonts w:hint="eastAsia" w:ascii="宋体" w:hAnsi="宋体"/>
          <w:sz w:val="28"/>
          <w:szCs w:val="28"/>
        </w:rPr>
        <w:t>上电委〔</w:t>
      </w: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1</w:t>
      </w:r>
      <w:r>
        <w:rPr>
          <w:rFonts w:hint="eastAsia" w:ascii="宋体" w:hAnsi="宋体"/>
          <w:sz w:val="28"/>
          <w:szCs w:val="28"/>
        </w:rPr>
        <w:t>〕</w:t>
      </w:r>
      <w:r>
        <w:rPr>
          <w:rFonts w:hint="eastAsia" w:ascii="宋体" w:hAnsi="宋体" w:eastAsia="宋体"/>
          <w:sz w:val="28"/>
          <w:szCs w:val="28"/>
          <w:lang w:val="en-US" w:eastAsia="zh-CN"/>
        </w:rPr>
        <w:t>60</w:t>
      </w:r>
      <w:bookmarkStart w:id="0" w:name="_GoBack"/>
      <w:bookmarkEnd w:id="0"/>
      <w:r>
        <w:rPr>
          <w:rFonts w:ascii="宋体" w:hAnsi="宋体"/>
          <w:sz w:val="28"/>
          <w:szCs w:val="28"/>
        </w:rPr>
        <w:t>号</w:t>
      </w:r>
    </w:p>
    <w:p>
      <w:pPr>
        <w:spacing w:line="280" w:lineRule="exact"/>
        <w:rPr>
          <w:rFonts w:eastAsia="宋体"/>
        </w:rPr>
      </w:pPr>
      <w: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40640</wp:posOffset>
                </wp:positionV>
                <wp:extent cx="228600" cy="198120"/>
                <wp:effectExtent l="15875" t="13970" r="22225" b="16510"/>
                <wp:wrapNone/>
                <wp:docPr id="2" name="五角星 2"/>
                <wp:cNvGraphicFramePr/>
                <a:graphic xmlns:a="http://schemas.openxmlformats.org/drawingml/2006/main">
                  <a:graphicData uri="http://schemas.microsoft.com/office/word/2010/wordprocessingShape">
                    <wps:wsp>
                      <wps:cNvSpPr/>
                      <wps:spPr>
                        <a:xfrm>
                          <a:off x="0" y="0"/>
                          <a:ext cx="228600" cy="19812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198pt;margin-top:3.2pt;height:15.6pt;width:18pt;z-index:251660288;mso-width-relative:page;mso-height-relative:page;" fillcolor="#FF0000" filled="t" stroked="t" coordsize="228600,198120" o:gfxdata="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ovYbWAAAACAEAAA8AAAAAAAAAAQAgAAAAIgAAAGRycy9k&#10;b3ducmV2LnhtbFBLAQIUABQAAAAIAIdO4kAnN2jHBAIAAC8EAAAOAAAAAAAAAAEAIAAAACUBAABk&#10;cnMvZTJvRG9jLnhtbFBLBQYAAAAABgAGAFkBAACbBQAAAAA=&#10;" path="m0,75674l87317,75675,114300,0,141282,75675,228599,75674,157957,122444,184941,198119,114300,151349,43658,198119,70642,122444xe">
                <v:path o:connectlocs="114300,0;0,75674;43658,198119;184941,198119;228599,75674"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139065</wp:posOffset>
                </wp:positionV>
                <wp:extent cx="25146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25146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25pt;margin-top:10.95pt;height:0pt;width:198pt;z-index:251661312;mso-width-relative:page;mso-height-relative:page;" filled="f" stroked="t" coordsize="21600,21600" o:gfxdata="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yUjtUAAAAJAQAADwAAAAAAAAABACAAAAAiAAAAZHJzL2Rvd25yZXYueG1sUEsB&#10;AhQAFAAAAAgAh07iQB8ZzOv4AQAA8QMAAA4AAAAAAAAAAQAgAAAAJAEAAGRycy9lMm9Eb2MueG1s&#10;UEsFBgAAAAAGAAYAWQEAAI4FA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24003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24003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0.95pt;height:0pt;width:189pt;z-index:251659264;mso-width-relative:page;mso-height-relative:page;" filled="f" stroked="t" coordsize="21600,21600" o:gfxdata="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M0gXvUAAAABgEAAA8AAAAAAAAAAQAgAAAAIgAAAGRycy9kb3ducmV2LnhtbFBLAQIUABQAAAAI&#10;AIdO4kAsDxtz8QEAAOcDAAAOAAAAAAAAAAEAIAAAACMBAABkcnMvZTJvRG9jLnhtbFBLBQYAAAAA&#10;BgAGAFkBAACGBQAAAAA=&#10;">
                <v:fill on="f" focussize="0,0"/>
                <v:stroke weight="2pt" color="#FF0000" joinstyle="round"/>
                <v:imagedata o:title=""/>
                <o:lock v:ext="edit" aspectratio="f"/>
              </v:line>
            </w:pict>
          </mc:Fallback>
        </mc:AlternateContent>
      </w:r>
    </w:p>
    <w:p>
      <w:pPr>
        <w:spacing w:line="280" w:lineRule="exact"/>
        <w:rPr>
          <w:rStyle w:val="9"/>
          <w:rFonts w:hint="default" w:ascii="MingLiU_HKSCS" w:hAnsi="MingLiU_HKSCS" w:eastAsia="宋体"/>
          <w:sz w:val="24"/>
          <w:szCs w:val="24"/>
        </w:rPr>
      </w:pPr>
    </w:p>
    <w:p>
      <w:pPr>
        <w:jc w:val="center"/>
        <w:rPr>
          <w:rFonts w:ascii="黑体" w:hAnsi="黑体" w:eastAsia="黑体"/>
          <w:color w:val="000000"/>
          <w:sz w:val="32"/>
          <w:szCs w:val="32"/>
        </w:rPr>
      </w:pPr>
      <w:r>
        <w:rPr>
          <w:rFonts w:ascii="黑体" w:hAnsi="黑体" w:eastAsia="黑体"/>
          <w:color w:val="000000"/>
          <w:sz w:val="32"/>
          <w:szCs w:val="32"/>
        </w:rPr>
        <w:t>上海电力大学</w:t>
      </w:r>
      <w:r>
        <w:rPr>
          <w:rFonts w:hint="eastAsia" w:ascii="黑体" w:hAnsi="黑体" w:eastAsia="黑体"/>
          <w:color w:val="000000"/>
          <w:sz w:val="32"/>
          <w:szCs w:val="32"/>
        </w:rPr>
        <w:t>网站信息发布管理办法</w:t>
      </w:r>
    </w:p>
    <w:p>
      <w:pPr>
        <w:widowControl/>
        <w:spacing w:line="560" w:lineRule="exact"/>
        <w:ind w:firstLine="64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校园网站是学校对外宣传的重要窗口，是展示学校办学成就和形象的重要平台，为进一步加强和规范校园网站信息发布和管理，确保网站信息发布的权威性和规范性，充分发挥校园网络宣传的主阵地、主旋律作用，结合学校工作实际，特制定本办法。</w:t>
      </w:r>
    </w:p>
    <w:p>
      <w:pPr>
        <w:widowControl/>
        <w:spacing w:line="56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第一章  总则</w:t>
      </w:r>
    </w:p>
    <w:p>
      <w:pPr>
        <w:widowControl/>
        <w:spacing w:line="56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第一条</w:t>
      </w:r>
      <w:r>
        <w:rPr>
          <w:rFonts w:hint="eastAsia" w:ascii="宋体" w:hAnsi="宋体" w:eastAsia="宋体" w:cs="宋体"/>
          <w:color w:val="000000"/>
          <w:kern w:val="0"/>
          <w:sz w:val="28"/>
          <w:szCs w:val="28"/>
        </w:rPr>
        <w:t> </w:t>
      </w:r>
      <w:r>
        <w:rPr>
          <w:rFonts w:hint="eastAsia" w:ascii="仿宋" w:hAnsi="仿宋" w:eastAsia="仿宋" w:cs="宋体"/>
          <w:color w:val="000000"/>
          <w:kern w:val="0"/>
          <w:sz w:val="28"/>
          <w:szCs w:val="28"/>
        </w:rPr>
        <w:t>建设好、利用好、管理好校园网站，是学校宣传思想工作的重要内容，对于牢牢掌握学校意识形态工作领导权、话语权，维护学校改革发展稳定大局，具有极为重要的意义。校园网站的管理和使用要坚持以习近平新时代中国特色社会主义思想为指导，坚持正确的舆论导向，坚持宣传党的路线、方针、政策，坚持围绕中心工作宣传学校改革发展成就，自觉承担起举旗帜、聚民心、育新人、兴文化、展形象的使命任务。</w:t>
      </w:r>
    </w:p>
    <w:p>
      <w:pPr>
        <w:widowControl/>
        <w:spacing w:line="560" w:lineRule="exact"/>
        <w:ind w:firstLine="562" w:firstLineChars="200"/>
        <w:jc w:val="left"/>
        <w:rPr>
          <w:rFonts w:ascii="宋体" w:hAnsi="宋体" w:eastAsia="宋体" w:cs="宋体"/>
          <w:color w:val="000000"/>
          <w:kern w:val="0"/>
          <w:sz w:val="28"/>
          <w:szCs w:val="28"/>
        </w:rPr>
      </w:pPr>
      <w:r>
        <w:rPr>
          <w:rFonts w:hint="eastAsia" w:ascii="仿宋" w:hAnsi="仿宋" w:eastAsia="仿宋" w:cs="宋体"/>
          <w:b/>
          <w:color w:val="000000"/>
          <w:kern w:val="0"/>
          <w:sz w:val="28"/>
          <w:szCs w:val="28"/>
        </w:rPr>
        <w:t>第二条</w:t>
      </w:r>
      <w:r>
        <w:rPr>
          <w:rFonts w:hint="eastAsia" w:ascii="宋体" w:hAnsi="宋体" w:eastAsia="宋体" w:cs="宋体"/>
          <w:color w:val="000000"/>
          <w:kern w:val="0"/>
          <w:sz w:val="28"/>
          <w:szCs w:val="28"/>
        </w:rPr>
        <w:t> </w:t>
      </w:r>
      <w:r>
        <w:rPr>
          <w:rFonts w:hint="eastAsia" w:ascii="仿宋" w:hAnsi="仿宋" w:eastAsia="仿宋" w:cs="宋体"/>
          <w:color w:val="000000"/>
          <w:kern w:val="0"/>
          <w:sz w:val="28"/>
          <w:szCs w:val="28"/>
        </w:rPr>
        <w:t>校园网站信息的发布须遵循合法、合规、真实、及时的原则，任何单位和个人未经许可不得擅自在网站上发布信息。</w:t>
      </w:r>
    </w:p>
    <w:p>
      <w:pPr>
        <w:widowControl/>
        <w:spacing w:line="56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第三条</w:t>
      </w:r>
      <w:r>
        <w:rPr>
          <w:rFonts w:hint="eastAsia" w:ascii="仿宋" w:hAnsi="仿宋" w:eastAsia="仿宋" w:cs="宋体"/>
          <w:color w:val="000000"/>
          <w:kern w:val="0"/>
          <w:sz w:val="28"/>
          <w:szCs w:val="28"/>
        </w:rPr>
        <w:t> 校园网站实行分级管理，学校门户网站（含主页、新闻网、英文网）、党务公开网、校务公开网为一级网站，二级单位网站、科研机构网站及各类专题网站为二级网站。党委宣传部负责对学校网站信息发布进行监管。现代教育技术中心（信息办）负责定期开展网站信息监测和网络安全检测。</w:t>
      </w:r>
    </w:p>
    <w:p>
      <w:pPr>
        <w:spacing w:line="560" w:lineRule="exact"/>
        <w:ind w:firstLine="562" w:firstLineChars="200"/>
        <w:rPr>
          <w:sz w:val="28"/>
          <w:szCs w:val="28"/>
        </w:rPr>
      </w:pPr>
      <w:r>
        <w:rPr>
          <w:rFonts w:hint="eastAsia" w:ascii="仿宋" w:hAnsi="仿宋" w:eastAsia="仿宋" w:cs="宋体"/>
          <w:b/>
          <w:color w:val="000000"/>
          <w:kern w:val="0"/>
          <w:sz w:val="28"/>
          <w:szCs w:val="28"/>
        </w:rPr>
        <w:t>第四条</w:t>
      </w:r>
      <w:r>
        <w:rPr>
          <w:rFonts w:hint="eastAsia" w:ascii="宋体" w:hAnsi="宋体" w:eastAsia="宋体" w:cs="宋体"/>
          <w:color w:val="000000"/>
          <w:kern w:val="0"/>
          <w:sz w:val="28"/>
          <w:szCs w:val="28"/>
        </w:rPr>
        <w:t> </w:t>
      </w:r>
      <w:r>
        <w:rPr>
          <w:rFonts w:hint="eastAsia" w:ascii="仿宋" w:hAnsi="仿宋" w:eastAsia="仿宋" w:cs="宋体"/>
          <w:color w:val="000000"/>
          <w:kern w:val="0"/>
          <w:sz w:val="28"/>
          <w:szCs w:val="28"/>
        </w:rPr>
        <w:t>本办法适用于学校各级各类网站信息的发布及管理。</w:t>
      </w:r>
    </w:p>
    <w:p>
      <w:pPr>
        <w:spacing w:line="560" w:lineRule="exact"/>
        <w:jc w:val="center"/>
        <w:rPr>
          <w:sz w:val="28"/>
          <w:szCs w:val="28"/>
        </w:rPr>
      </w:pPr>
      <w:r>
        <w:rPr>
          <w:rFonts w:hint="eastAsia" w:ascii="仿宋" w:hAnsi="仿宋" w:eastAsia="仿宋" w:cs="宋体"/>
          <w:b/>
          <w:color w:val="000000"/>
          <w:kern w:val="0"/>
          <w:sz w:val="28"/>
          <w:szCs w:val="28"/>
        </w:rPr>
        <w:t>第二章  分级管理</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第五条</w:t>
      </w:r>
      <w:r>
        <w:rPr>
          <w:rFonts w:hint="eastAsia"/>
          <w:color w:val="000000"/>
          <w:sz w:val="28"/>
          <w:szCs w:val="28"/>
        </w:rPr>
        <w:t> </w:t>
      </w:r>
      <w:r>
        <w:rPr>
          <w:rFonts w:hint="eastAsia" w:ascii="仿宋" w:hAnsi="仿宋" w:eastAsia="仿宋"/>
          <w:color w:val="000000"/>
          <w:sz w:val="28"/>
          <w:szCs w:val="28"/>
        </w:rPr>
        <w:t>学校门户网站主页设置“校园新闻”“院部动态”“媒体聚焦”“讲座报告”“通知公告”“首页大图”等栏目。其中，“校园新闻”“院部动态”“媒体聚焦”“首页大图”栏目由党委宣传部负责管理。校务公开网、“讲座报告”“通知公告”栏目由校长办公室负责管理。党务公开网由党委办公室负责管理。</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第六条</w:t>
      </w:r>
      <w:r>
        <w:rPr>
          <w:rFonts w:hint="eastAsia"/>
          <w:color w:val="000000"/>
          <w:sz w:val="28"/>
          <w:szCs w:val="28"/>
        </w:rPr>
        <w:t> </w:t>
      </w:r>
      <w:r>
        <w:rPr>
          <w:rFonts w:hint="eastAsia" w:ascii="仿宋" w:hAnsi="仿宋" w:eastAsia="仿宋"/>
          <w:color w:val="000000"/>
          <w:sz w:val="28"/>
          <w:szCs w:val="28"/>
        </w:rPr>
        <w:t>学校门户网站新闻宣传遵循“谁主办、谁负责，谁审批、谁监管”的原则。各单位应进一步加强新闻意识，重要新闻原则上当天报送，最长不超过两个工作日，避免遗漏或延误。党委宣传部在审稿过程中对内容有明显错误或不符合信息发布要求的稿件，将退回投稿单位或指导其修改。</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第七条 </w:t>
      </w:r>
      <w:r>
        <w:rPr>
          <w:rFonts w:hint="eastAsia" w:ascii="仿宋" w:hAnsi="仿宋" w:eastAsia="仿宋"/>
          <w:color w:val="000000"/>
          <w:sz w:val="28"/>
          <w:szCs w:val="28"/>
        </w:rPr>
        <w:t>二级网站遵循“谁主管，谁负责”的原则。网站发布的信息要坚持正确的政治方向、舆论导向和价值取向，文字内容要准确规范、简洁流畅。</w:t>
      </w:r>
    </w:p>
    <w:p>
      <w:pPr>
        <w:spacing w:line="56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第三章  信息发布及管理</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第八条</w:t>
      </w:r>
      <w:r>
        <w:rPr>
          <w:rFonts w:hint="eastAsia"/>
          <w:color w:val="000000"/>
          <w:sz w:val="28"/>
          <w:szCs w:val="28"/>
        </w:rPr>
        <w:t> </w:t>
      </w:r>
      <w:r>
        <w:rPr>
          <w:rFonts w:hint="eastAsia" w:ascii="仿宋" w:hAnsi="仿宋" w:eastAsia="仿宋"/>
          <w:color w:val="000000"/>
          <w:sz w:val="28"/>
          <w:szCs w:val="28"/>
        </w:rPr>
        <w:t>学校网站信息发布必须坚持先审后发。各二级单位应建立网站信息发布管理机制，明确领导审核责任，指定专（兼）职人员担任宣传员。党委宣传部将定期对宣传员进行培训。</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第九条</w:t>
      </w:r>
      <w:r>
        <w:rPr>
          <w:rFonts w:hint="eastAsia"/>
          <w:color w:val="000000"/>
          <w:sz w:val="28"/>
          <w:szCs w:val="28"/>
        </w:rPr>
        <w:t> </w:t>
      </w:r>
      <w:r>
        <w:rPr>
          <w:rFonts w:hint="eastAsia" w:ascii="仿宋" w:hAnsi="仿宋" w:eastAsia="仿宋"/>
          <w:color w:val="000000"/>
          <w:sz w:val="28"/>
          <w:szCs w:val="28"/>
        </w:rPr>
        <w:t>学校门户网站信息发布实行“三审”制度，对信息的政治性、原则性、准确性、规范性、安全性进行全面审核。</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（一）各二级学院、职能部处宣传员对拟发布信息进行初审</w:t>
      </w:r>
      <w:r>
        <w:rPr>
          <w:rFonts w:hint="eastAsia" w:ascii="仿宋" w:hAnsi="仿宋" w:eastAsia="仿宋"/>
          <w:b/>
          <w:color w:val="C00000"/>
          <w:sz w:val="28"/>
          <w:szCs w:val="28"/>
        </w:rPr>
        <w:t>。</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（二）各二级党组织书记、职能部处主要负责人对拟发布信息进行复审。</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（三）门户网站栏目管理部门负责对拟发布信息进行终审。确认无误后予以发布。</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二级单位网站及各类专题网站参照学校门户网站建立“三审”制度，明确各</w:t>
      </w:r>
      <w:r>
        <w:rPr>
          <w:rFonts w:hint="eastAsia" w:ascii="仿宋" w:hAnsi="仿宋" w:eastAsia="仿宋"/>
          <w:b/>
          <w:color w:val="000000"/>
          <w:sz w:val="28"/>
          <w:szCs w:val="28"/>
        </w:rPr>
        <w:t>二级党组织书记</w:t>
      </w:r>
      <w:r>
        <w:rPr>
          <w:rFonts w:hint="eastAsia" w:ascii="仿宋" w:hAnsi="仿宋" w:eastAsia="仿宋"/>
          <w:color w:val="000000"/>
          <w:sz w:val="28"/>
          <w:szCs w:val="28"/>
        </w:rPr>
        <w:t>、职能部处主要负责人的终审责任。</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第十条</w:t>
      </w:r>
      <w:r>
        <w:rPr>
          <w:rFonts w:hint="eastAsia"/>
          <w:color w:val="000000"/>
          <w:sz w:val="28"/>
          <w:szCs w:val="28"/>
        </w:rPr>
        <w:t> </w:t>
      </w:r>
      <w:r>
        <w:rPr>
          <w:rFonts w:hint="eastAsia" w:ascii="仿宋" w:hAnsi="仿宋" w:eastAsia="仿宋"/>
          <w:color w:val="000000"/>
          <w:sz w:val="28"/>
          <w:szCs w:val="28"/>
        </w:rPr>
        <w:t>学校各级各类网站要严格执行信息发布审核流程，压实信息发布“三审”各环节责任，确保所发布的</w:t>
      </w:r>
      <w:r>
        <w:rPr>
          <w:rFonts w:ascii="仿宋" w:hAnsi="仿宋" w:eastAsia="仿宋"/>
          <w:color w:val="000000"/>
          <w:sz w:val="28"/>
          <w:szCs w:val="28"/>
        </w:rPr>
        <w:t>信息</w:t>
      </w:r>
      <w:r>
        <w:rPr>
          <w:rFonts w:hint="eastAsia" w:ascii="仿宋" w:hAnsi="仿宋" w:eastAsia="仿宋"/>
          <w:color w:val="000000"/>
          <w:sz w:val="28"/>
          <w:szCs w:val="28"/>
        </w:rPr>
        <w:t>政治方向、舆论导向和价值取向正确。未经审核的信息一律不得上网发布。</w:t>
      </w:r>
    </w:p>
    <w:p>
      <w:pPr>
        <w:spacing w:line="56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第四章  自查巡检及责任追究</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第十一条</w:t>
      </w:r>
      <w:r>
        <w:rPr>
          <w:rFonts w:hint="eastAsia"/>
          <w:color w:val="000000"/>
          <w:sz w:val="28"/>
          <w:szCs w:val="28"/>
        </w:rPr>
        <w:t> </w:t>
      </w:r>
      <w:r>
        <w:rPr>
          <w:rFonts w:hint="eastAsia" w:ascii="仿宋" w:hAnsi="仿宋" w:eastAsia="仿宋"/>
          <w:color w:val="000000"/>
          <w:sz w:val="28"/>
          <w:szCs w:val="28"/>
        </w:rPr>
        <w:t>学校各级各类网站管理单位要对网站内容加强日常管理，定期进行全面自查，及时排查网站存在的安全隐患，定期清除长期未更新的“僵尸”网站，定期开展网络安全检测和深度渗透性测试。全面自查每年不少于四次，自查重点包括但不限于：</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sz w:val="28"/>
        </w:rPr>
        <w:t>（</w:t>
      </w:r>
      <w:r>
        <w:rPr>
          <w:rFonts w:hint="eastAsia" w:ascii="仿宋" w:hAnsi="仿宋" w:eastAsia="仿宋"/>
          <w:color w:val="000000"/>
          <w:sz w:val="28"/>
          <w:szCs w:val="28"/>
        </w:rPr>
        <w:t>一）公开发布的信息、新闻报道在意识形态方面有错误导向；</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（二）公开发布的信息、新闻报道中出现政治性、原则性、常识性错误；</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（三）涉密信息、不宜公开发布的信息；</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（四）学校标识使用不规范等。</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自查过程要做好台账记录，发现问题即知即改并举一反三整改到位。</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第十二条</w:t>
      </w:r>
      <w:r>
        <w:rPr>
          <w:rFonts w:hint="eastAsia"/>
          <w:color w:val="000000"/>
          <w:sz w:val="28"/>
          <w:szCs w:val="28"/>
        </w:rPr>
        <w:t> </w:t>
      </w:r>
      <w:r>
        <w:rPr>
          <w:rFonts w:hint="eastAsia" w:ascii="仿宋" w:hAnsi="仿宋" w:eastAsia="仿宋"/>
          <w:color w:val="000000"/>
          <w:sz w:val="28"/>
          <w:szCs w:val="28"/>
        </w:rPr>
        <w:t>党委宣传部、现代技术教育中心（信息办）联合对各级各类网站内容定期进行巡检，每年不少于两次。</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第十三条</w:t>
      </w:r>
      <w:r>
        <w:rPr>
          <w:rFonts w:hint="eastAsia"/>
          <w:color w:val="000000"/>
          <w:sz w:val="28"/>
          <w:szCs w:val="28"/>
        </w:rPr>
        <w:t> </w:t>
      </w:r>
      <w:r>
        <w:rPr>
          <w:rFonts w:hint="eastAsia" w:ascii="仿宋" w:hAnsi="仿宋" w:eastAsia="仿宋"/>
          <w:color w:val="000000"/>
          <w:sz w:val="28"/>
          <w:szCs w:val="28"/>
        </w:rPr>
        <w:t>对自查巡检中发现的问题整改不及时，或反复出现同样问题的责任单位及责任人，将视情节轻重根据学校相关规定启动责任追究机制。追责种类包括;</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（一）约谈督促；</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（二）书面检查；</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（三）通报批评；</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（四）取消当年评优评奖；</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（五）其他。</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第十四条</w:t>
      </w:r>
      <w:r>
        <w:rPr>
          <w:rFonts w:hint="eastAsia"/>
          <w:color w:val="000000"/>
          <w:sz w:val="28"/>
          <w:szCs w:val="28"/>
        </w:rPr>
        <w:t> </w:t>
      </w:r>
      <w:r>
        <w:rPr>
          <w:rFonts w:hint="eastAsia" w:ascii="仿宋" w:hAnsi="仿宋" w:eastAsia="仿宋"/>
          <w:color w:val="000000"/>
          <w:sz w:val="28"/>
          <w:szCs w:val="28"/>
        </w:rPr>
        <w:t>学校各级各类网站一旦发生以下严重问题的，将依规依纪依法对责任单位和责任人从严追责，包括给予组织处理或纪律处分等。</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（一）发生由于信息发布或报道内容出现重大问题而引发重大舆情，且应对不力、处置不当的；</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（二）对本单位负责的网站内容管理不力，出现严重错误导向的；</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（三）公开发布的信息、新闻报道在意识形态方面有严重错误导向的；</w:t>
      </w:r>
    </w:p>
    <w:p>
      <w:pPr>
        <w:pStyle w:val="4"/>
        <w:shd w:val="clear" w:color="auto" w:fill="FFFFFF"/>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（四）其他未能履行审核职责，造成严重后果的。</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第十五条</w:t>
      </w:r>
      <w:r>
        <w:rPr>
          <w:rFonts w:hint="eastAsia"/>
          <w:color w:val="000000"/>
          <w:sz w:val="28"/>
          <w:szCs w:val="28"/>
        </w:rPr>
        <w:t> </w:t>
      </w:r>
      <w:r>
        <w:rPr>
          <w:rFonts w:hint="eastAsia" w:ascii="仿宋" w:hAnsi="仿宋" w:eastAsia="仿宋"/>
          <w:color w:val="000000"/>
          <w:sz w:val="28"/>
          <w:szCs w:val="28"/>
        </w:rPr>
        <w:t>责任追究将按照学校相关规定，实事求是区分集体责任和个人责任，主要领导责任和重要领导责任。</w:t>
      </w:r>
    </w:p>
    <w:p>
      <w:pPr>
        <w:spacing w:line="56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第五章  附则</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第十六条</w:t>
      </w:r>
      <w:r>
        <w:rPr>
          <w:rFonts w:hint="eastAsia"/>
          <w:color w:val="000000"/>
          <w:sz w:val="28"/>
          <w:szCs w:val="28"/>
        </w:rPr>
        <w:t> </w:t>
      </w:r>
      <w:r>
        <w:rPr>
          <w:rFonts w:hint="eastAsia" w:ascii="仿宋" w:hAnsi="仿宋" w:eastAsia="仿宋"/>
          <w:color w:val="000000"/>
          <w:sz w:val="28"/>
          <w:szCs w:val="28"/>
        </w:rPr>
        <w:t>本办法未尽事宜按照国家相关法律、法规和学校有关规定执行。</w:t>
      </w:r>
    </w:p>
    <w:p>
      <w:pPr>
        <w:pStyle w:val="4"/>
        <w:shd w:val="clear" w:color="auto" w:fill="FFFFFF"/>
        <w:spacing w:before="0" w:beforeAutospacing="0" w:after="0" w:afterAutospacing="0" w:line="56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第十七条</w:t>
      </w:r>
      <w:r>
        <w:rPr>
          <w:rFonts w:hint="eastAsia"/>
          <w:color w:val="000000"/>
          <w:sz w:val="28"/>
          <w:szCs w:val="28"/>
        </w:rPr>
        <w:t> </w:t>
      </w:r>
      <w:r>
        <w:rPr>
          <w:rFonts w:hint="eastAsia" w:ascii="仿宋" w:hAnsi="仿宋" w:eastAsia="仿宋"/>
          <w:color w:val="000000"/>
          <w:sz w:val="28"/>
          <w:szCs w:val="28"/>
        </w:rPr>
        <w:t>本办法自发布之日起执行。</w:t>
      </w:r>
    </w:p>
    <w:p>
      <w:pPr>
        <w:pStyle w:val="4"/>
        <w:shd w:val="clear" w:color="auto" w:fill="FFFFFF"/>
        <w:spacing w:before="0" w:beforeAutospacing="0" w:after="0" w:afterAutospacing="0" w:line="560" w:lineRule="exact"/>
        <w:rPr>
          <w:rFonts w:ascii="仿宋" w:hAnsi="仿宋" w:eastAsia="仿宋"/>
          <w:color w:val="000000"/>
          <w:sz w:val="28"/>
          <w:szCs w:val="28"/>
        </w:rPr>
      </w:pPr>
    </w:p>
    <w:p>
      <w:pPr>
        <w:pStyle w:val="4"/>
        <w:shd w:val="clear" w:color="auto" w:fill="FFFFFF"/>
        <w:spacing w:before="0" w:beforeAutospacing="0" w:after="0" w:afterAutospacing="0" w:line="560" w:lineRule="exact"/>
        <w:ind w:firstLine="5040" w:firstLineChars="1800"/>
        <w:rPr>
          <w:rFonts w:ascii="仿宋" w:hAnsi="仿宋" w:eastAsia="仿宋"/>
          <w:color w:val="000000"/>
          <w:sz w:val="28"/>
          <w:szCs w:val="28"/>
        </w:rPr>
      </w:pPr>
      <w:r>
        <w:rPr>
          <w:rFonts w:hint="eastAsia" w:ascii="仿宋" w:hAnsi="仿宋" w:eastAsia="仿宋"/>
          <w:color w:val="000000"/>
          <w:sz w:val="28"/>
          <w:szCs w:val="28"/>
        </w:rPr>
        <w:t>中共上海电力大学委员会</w:t>
      </w:r>
    </w:p>
    <w:p>
      <w:pPr>
        <w:pStyle w:val="4"/>
        <w:shd w:val="clear" w:color="auto" w:fill="FFFFFF"/>
        <w:spacing w:before="0" w:beforeAutospacing="0" w:after="0" w:afterAutospacing="0" w:line="560" w:lineRule="exact"/>
        <w:ind w:firstLine="5880" w:firstLineChars="2100"/>
        <w:rPr>
          <w:rFonts w:ascii="仿宋" w:hAnsi="仿宋" w:eastAsia="仿宋"/>
          <w:color w:val="000000"/>
          <w:sz w:val="28"/>
          <w:szCs w:val="28"/>
        </w:rPr>
      </w:pPr>
      <w:r>
        <w:rPr>
          <w:rFonts w:hint="eastAsia" w:ascii="仿宋" w:hAnsi="仿宋" w:eastAsia="仿宋"/>
          <w:color w:val="000000"/>
          <w:sz w:val="28"/>
          <w:szCs w:val="28"/>
        </w:rPr>
        <w:t>上海电力大学</w:t>
      </w:r>
    </w:p>
    <w:p>
      <w:pPr>
        <w:pStyle w:val="4"/>
        <w:shd w:val="clear" w:color="auto" w:fill="FFFFFF"/>
        <w:spacing w:before="0" w:beforeAutospacing="0" w:after="0" w:afterAutospacing="0" w:line="560" w:lineRule="exact"/>
        <w:ind w:firstLine="5600" w:firstLineChars="2000"/>
      </w:pPr>
      <w:r>
        <w:rPr>
          <w:rFonts w:hint="eastAsia" w:ascii="仿宋" w:hAnsi="仿宋" w:eastAsia="仿宋"/>
          <w:color w:val="000000"/>
          <w:sz w:val="28"/>
          <w:szCs w:val="28"/>
        </w:rPr>
        <w:t>2021年6月30日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1C"/>
    <w:rsid w:val="00060A2A"/>
    <w:rsid w:val="004D2C3C"/>
    <w:rsid w:val="005D631C"/>
    <w:rsid w:val="00730A04"/>
    <w:rsid w:val="008802A8"/>
    <w:rsid w:val="009852E0"/>
    <w:rsid w:val="00AF4C73"/>
    <w:rsid w:val="00D65A6D"/>
    <w:rsid w:val="00D95572"/>
    <w:rsid w:val="00DF4512"/>
    <w:rsid w:val="07AC7C4B"/>
    <w:rsid w:val="7338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16"/>
    <w:qFormat/>
    <w:uiPriority w:val="0"/>
    <w:rPr>
      <w:rFonts w:hint="eastAsia" w:ascii="MingLiU" w:hAnsi="MingLiU" w:eastAsia="MingLiU"/>
      <w:color w:val="000000"/>
      <w:spacing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Company>
  <Pages>4</Pages>
  <Words>304</Words>
  <Characters>1733</Characters>
  <Lines>14</Lines>
  <Paragraphs>4</Paragraphs>
  <TotalTime>0</TotalTime>
  <ScaleCrop>false</ScaleCrop>
  <LinksUpToDate>false</LinksUpToDate>
  <CharactersWithSpaces>2033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2021-06-21T04:35:00Z</dcterms:created>
  <dc:creator>宣传部</dc:creator>
  <cp:lastModifiedBy>利</cp:lastModifiedBy>
  <cp:lastPrinted>2021-06-22T06:58:00Z</cp:lastPrinted>
  <dcterms:modified xsi:type="dcterms:W3CDTF">2021-10-19T08:01:47Z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A36C14D2489D488CB5AF035647163CE3</vt:lpwstr>
  </property>
</Properties>
</file>