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sz w:val="32"/>
          <w:szCs w:val="32"/>
        </w:rPr>
      </w:pPr>
    </w:p>
    <w:p>
      <w:pPr>
        <w:spacing w:line="360" w:lineRule="auto"/>
        <w:jc w:val="center"/>
        <w:rPr>
          <w:rFonts w:ascii="仿宋_GB2312" w:eastAsia="仿宋_GB2312"/>
          <w:sz w:val="32"/>
          <w:szCs w:val="32"/>
        </w:rPr>
      </w:pPr>
      <w:r>
        <w:rPr>
          <w:rFonts w:hint="eastAsia" w:ascii="仿宋_GB2312" w:eastAsia="仿宋_GB2312"/>
          <w:sz w:val="32"/>
          <w:szCs w:val="32"/>
        </w:rPr>
        <w:t>上电</w:t>
      </w:r>
      <w:r>
        <w:rPr>
          <w:rFonts w:hint="eastAsia" w:ascii="仿宋_GB2312" w:eastAsia="仿宋_GB2312"/>
          <w:sz w:val="32"/>
          <w:szCs w:val="32"/>
          <w:lang w:eastAsia="zh-CN"/>
        </w:rPr>
        <w:t>学</w:t>
      </w:r>
      <w:r>
        <w:rPr>
          <w:rFonts w:hint="eastAsia" w:ascii="仿宋_GB2312" w:eastAsia="仿宋_GB2312"/>
          <w:sz w:val="32"/>
          <w:szCs w:val="32"/>
        </w:rPr>
        <w:t>〔2021〕</w:t>
      </w:r>
      <w:r>
        <w:rPr>
          <w:rFonts w:hint="eastAsia" w:ascii="仿宋_GB2312" w:eastAsia="仿宋_GB2312"/>
          <w:sz w:val="32"/>
          <w:szCs w:val="32"/>
          <w:lang w:val="en-US" w:eastAsia="zh-CN"/>
        </w:rPr>
        <w:t>166</w:t>
      </w:r>
      <w:r>
        <w:rPr>
          <w:rFonts w:hint="eastAsia" w:ascii="仿宋_GB2312" w:eastAsia="仿宋_GB2312"/>
          <w:sz w:val="32"/>
          <w:szCs w:val="32"/>
        </w:rPr>
        <w:t>号</w:t>
      </w:r>
    </w:p>
    <w:p>
      <w:pPr>
        <w:spacing w:line="360" w:lineRule="auto"/>
        <w:jc w:val="center"/>
        <w:rPr>
          <w:rFonts w:asciiTheme="majorEastAsia" w:hAnsiTheme="majorEastAsia" w:eastAsiaTheme="majorEastAsia"/>
          <w:b/>
          <w:sz w:val="44"/>
          <w:szCs w:val="44"/>
        </w:rPr>
      </w:pPr>
    </w:p>
    <w:p>
      <w:pPr>
        <w:spacing w:line="360" w:lineRule="auto"/>
        <w:jc w:val="center"/>
        <w:rPr>
          <w:rFonts w:hint="eastAsia" w:ascii="宋体" w:hAnsi="宋体" w:eastAsia="宋体" w:cs="Times New Roman"/>
          <w:b/>
          <w:sz w:val="44"/>
          <w:szCs w:val="44"/>
        </w:rPr>
      </w:pPr>
      <w:r>
        <w:rPr>
          <w:rFonts w:hint="eastAsia" w:ascii="宋体" w:hAnsi="宋体" w:eastAsia="宋体" w:cs="Times New Roman"/>
          <w:b/>
          <w:sz w:val="44"/>
          <w:szCs w:val="44"/>
          <w:lang w:eastAsia="zh-CN"/>
        </w:rPr>
        <w:t>关于</w:t>
      </w:r>
      <w:r>
        <w:rPr>
          <w:rFonts w:hint="eastAsia" w:ascii="宋体" w:hAnsi="宋体" w:eastAsia="宋体" w:cs="Times New Roman"/>
          <w:b/>
          <w:sz w:val="44"/>
          <w:szCs w:val="44"/>
        </w:rPr>
        <w:t>印发《上海电力大学学风建设工作实施方案》的通知</w:t>
      </w:r>
    </w:p>
    <w:p>
      <w:pPr>
        <w:spacing w:line="360" w:lineRule="auto"/>
        <w:rPr>
          <w:rFonts w:ascii="仿宋_GB2312" w:eastAsia="仿宋_GB2312"/>
          <w:sz w:val="32"/>
          <w:szCs w:val="32"/>
        </w:rPr>
      </w:pPr>
    </w:p>
    <w:p>
      <w:pPr>
        <w:spacing w:line="360" w:lineRule="auto"/>
        <w:rPr>
          <w:rFonts w:ascii="仿宋_GB2312" w:eastAsia="仿宋_GB2312"/>
          <w:sz w:val="32"/>
          <w:szCs w:val="32"/>
        </w:rPr>
      </w:pPr>
      <w:r>
        <w:rPr>
          <w:rFonts w:hint="eastAsia" w:ascii="仿宋_GB2312" w:eastAsia="仿宋_GB2312"/>
          <w:sz w:val="32"/>
          <w:szCs w:val="32"/>
        </w:rPr>
        <w:t>各二级</w:t>
      </w:r>
      <w:r>
        <w:rPr>
          <w:rFonts w:hint="eastAsia" w:ascii="仿宋_GB2312" w:eastAsia="仿宋_GB2312"/>
          <w:sz w:val="32"/>
          <w:szCs w:val="32"/>
          <w:lang w:eastAsia="zh-CN"/>
        </w:rPr>
        <w:t>学院</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为进一步加强我校学风建设，营造优良的学习风气，促进学生全面健康发展，现印发《上海电力大学学风建设工作实施方案》，</w:t>
      </w:r>
      <w:r>
        <w:rPr>
          <w:rFonts w:hint="eastAsia" w:ascii="仿宋_GB2312" w:eastAsia="仿宋_GB2312"/>
          <w:sz w:val="32"/>
          <w:szCs w:val="32"/>
        </w:rPr>
        <w:t>请认真贯彻执行。</w:t>
      </w:r>
    </w:p>
    <w:p>
      <w:pPr>
        <w:spacing w:line="360" w:lineRule="auto"/>
        <w:ind w:firstLine="640" w:firstLineChars="200"/>
        <w:rPr>
          <w:rFonts w:hint="eastAsia"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firstLine="640" w:firstLineChars="200"/>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上海电力大学</w:t>
      </w:r>
    </w:p>
    <w:p>
      <w:pPr>
        <w:spacing w:line="360" w:lineRule="auto"/>
        <w:ind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2021年10月27日</w:t>
      </w:r>
    </w:p>
    <w:p>
      <w:pPr>
        <w:spacing w:line="360" w:lineRule="auto"/>
        <w:ind w:firstLine="640" w:firstLineChars="200"/>
        <w:jc w:val="right"/>
        <w:rPr>
          <w:rFonts w:hint="eastAsia" w:ascii="仿宋_GB2312" w:eastAsia="仿宋_GB2312"/>
          <w:sz w:val="32"/>
          <w:szCs w:val="32"/>
          <w:lang w:val="en-US" w:eastAsia="zh-CN"/>
        </w:rPr>
      </w:pPr>
    </w:p>
    <w:p>
      <w:pPr>
        <w:spacing w:line="360" w:lineRule="auto"/>
        <w:ind w:firstLine="640" w:firstLineChars="200"/>
        <w:jc w:val="right"/>
        <w:rPr>
          <w:rFonts w:hint="eastAsia" w:ascii="仿宋_GB2312" w:eastAsia="仿宋_GB2312"/>
          <w:sz w:val="32"/>
          <w:szCs w:val="32"/>
          <w:lang w:val="en-US" w:eastAsia="zh-CN"/>
        </w:rPr>
      </w:pPr>
    </w:p>
    <w:p>
      <w:pPr>
        <w:spacing w:line="360" w:lineRule="auto"/>
        <w:ind w:firstLine="640" w:firstLineChars="200"/>
        <w:jc w:val="right"/>
        <w:rPr>
          <w:rFonts w:hint="eastAsia" w:ascii="仿宋_GB2312" w:eastAsia="仿宋_GB2312"/>
          <w:sz w:val="32"/>
          <w:szCs w:val="32"/>
          <w:lang w:val="en-US" w:eastAsia="zh-CN"/>
        </w:rPr>
      </w:pPr>
    </w:p>
    <w:p>
      <w:pPr>
        <w:spacing w:line="360" w:lineRule="auto"/>
        <w:ind w:firstLine="640" w:firstLineChars="200"/>
        <w:jc w:val="right"/>
        <w:rPr>
          <w:rFonts w:hint="eastAsia" w:ascii="仿宋_GB2312" w:eastAsia="仿宋_GB2312"/>
          <w:sz w:val="32"/>
          <w:szCs w:val="32"/>
          <w:lang w:val="en-US" w:eastAsia="zh-CN"/>
        </w:rPr>
      </w:pPr>
    </w:p>
    <w:p>
      <w:pPr>
        <w:spacing w:line="360" w:lineRule="auto"/>
        <w:ind w:firstLine="640" w:firstLineChars="200"/>
        <w:jc w:val="right"/>
        <w:rPr>
          <w:rFonts w:hint="eastAsia" w:ascii="仿宋_GB2312" w:eastAsia="仿宋_GB2312"/>
          <w:sz w:val="32"/>
          <w:szCs w:val="32"/>
          <w:lang w:val="en-US" w:eastAsia="zh-CN"/>
        </w:rPr>
      </w:pPr>
    </w:p>
    <w:p>
      <w:pPr>
        <w:spacing w:line="360" w:lineRule="auto"/>
        <w:ind w:firstLine="640" w:firstLineChars="200"/>
        <w:jc w:val="right"/>
        <w:rPr>
          <w:rFonts w:hint="eastAsia" w:ascii="仿宋_GB2312" w:eastAsia="仿宋_GB2312"/>
          <w:sz w:val="32"/>
          <w:szCs w:val="32"/>
          <w:lang w:val="en-US" w:eastAsia="zh-CN"/>
        </w:rPr>
      </w:pPr>
    </w:p>
    <w:p>
      <w:pPr>
        <w:spacing w:line="360" w:lineRule="auto"/>
        <w:ind w:firstLine="640" w:firstLineChars="200"/>
        <w:jc w:val="right"/>
        <w:rPr>
          <w:rFonts w:hint="eastAsia" w:ascii="仿宋_GB2312" w:eastAsia="仿宋_GB2312"/>
          <w:sz w:val="32"/>
          <w:szCs w:val="32"/>
          <w:lang w:val="en-US" w:eastAsia="zh-CN"/>
        </w:rPr>
      </w:pPr>
    </w:p>
    <w:p>
      <w:pPr>
        <w:spacing w:line="360" w:lineRule="auto"/>
        <w:ind w:firstLine="640" w:firstLineChars="200"/>
        <w:jc w:val="right"/>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Times New Roman"/>
          <w:b/>
          <w:sz w:val="44"/>
          <w:szCs w:val="44"/>
        </w:rPr>
      </w:pPr>
      <w:r>
        <w:rPr>
          <w:rFonts w:hint="eastAsia" w:ascii="宋体" w:hAnsi="宋体" w:eastAsia="宋体" w:cs="Times New Roman"/>
          <w:b/>
          <w:sz w:val="44"/>
          <w:szCs w:val="44"/>
        </w:rPr>
        <w:t>上海电力大学学风建设工作实施方案</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学风是大学精神的集中体现，是教书育人的本质要求，是高等学校的立校之本、发展之魂，优良学风是提高教育教学质量的根本保证。为深入贯彻习近平新时代中国特色社会主义思想和党的十九大精神、全国教育大会精神、全国高等学校本科教育工作会议精神，全面贯彻落实中共中央、国务院《关于加强和改进新形势下高校思想政治工作的意见》（中发〔2016〕31号）和《普通高等学校学生管理规定》（教育部令第41号）等文件精神，切实加强我校学风建设，促进学生全面发展和健康成长，构建学风建设长效机制，特制定本实施方案。</w:t>
      </w:r>
    </w:p>
    <w:p>
      <w:pPr>
        <w:spacing w:line="360" w:lineRule="auto"/>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一、指导思想</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以习近平新时代中国特色社会主义思想为指导，全面贯彻党的十九大精神，坚持中国特色社会主义教育发展道路，以提高人才培养质量为根本，以加强学生思想政治教育为基础，以创新人才培养模式为重点，以制度建设为保障，着力构建学风建设长效机制。按照重心下移、标本兼治、整体规划、协同育人的工作思路，着力构建符合高等教育发展规律和适应学校人才培养要求的学风建设体系，为培养德智体美劳全面发展的社会主义建设者和接班人奠定坚实基础。</w:t>
      </w:r>
    </w:p>
    <w:p>
      <w:pPr>
        <w:spacing w:line="360" w:lineRule="auto"/>
        <w:ind w:firstLine="640" w:firstLineChars="200"/>
        <w:rPr>
          <w:rFonts w:hint="eastAsia" w:ascii="黑体" w:hAnsi="黑体" w:eastAsia="黑体" w:cs="Times New Roman"/>
          <w:sz w:val="32"/>
          <w:szCs w:val="32"/>
        </w:rPr>
      </w:pPr>
    </w:p>
    <w:p>
      <w:pPr>
        <w:spacing w:line="360" w:lineRule="auto"/>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二、建设目标</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完善“一个计划、两个体系、三个群体”的工作机制，即进一步推进“致远计划”、完善“学业能力提升体系”“学业达标帮扶体系”、做好“三个群体”工作，围绕立德树人根本任务，将学风建设融入学校教育、管理、服务各项工作之中，建立优良的校园学习氛围，推出新形势下学风建设的总体思路和具体举措，引导广大学生明确学习目标，增强学习动力，掌握学习方法，树立终身学习的理念，促进学生思想道德素质和科学文化素质的全面提升，推动学校“立足电力、立足应用、立足一线”的优秀人才培养目标的实现。</w:t>
      </w:r>
    </w:p>
    <w:p>
      <w:pPr>
        <w:spacing w:line="360" w:lineRule="auto"/>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 三、主要内容</w:t>
      </w:r>
    </w:p>
    <w:p>
      <w:pPr>
        <w:spacing w:line="360" w:lineRule="auto"/>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（一）开展思想动员，加强学风建设宣传教育</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各二级学院应结合学生特点，依托学风建设动员会、首日教育、主题班会、座谈研讨等多种形式，开展学风建设活动，将学风建设宣传教育融入学生学习生活；通过新媒体平台在学生中广泛宣传学风建设的重要性、学风建设措施及先进典型，分享优秀学习方法与资源，营造“比、学、赶、帮、超”的学习氛围；辅导员要深入开展“五进”工作，通过进课堂、进宿舍，引导学生把专业学习作为第一要务，充分调动学生学习的主动性和积极性，引导学生主动参与学风建设。</w:t>
      </w:r>
    </w:p>
    <w:p>
      <w:pPr>
        <w:spacing w:line="360" w:lineRule="auto"/>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（二）注重分类指导，建立“学业能力提升”“学业达标帮扶”两大体系</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1、建立“学业能力提升体系”。针对成绩优秀、学有余力的学生，因材施教，加强在学术研究、科技创新方面的指导力度，打造优秀学生提升通道。鼓励学生积极参与学术讲座、校园文化、社会实践等活动；大力支持学生参加各类科创竞赛，加大对“挑战杯”、“创青春”、“互联网+”等重点竞赛的宣传、组织和培训力度；有针对性地指导学生参加外语（演讲）、数学、物理等专业类学科竞赛，着力提升各类科创竞赛、学科竞赛的参与率及获奖率，促进学生全方面发展。</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2、建立“学业达标帮扶体系”。针对学业困难学生实际情况，每学期初对学生的学习成绩和学习状态进行判断分级，对专业认同感、学习适应性较低的学生进行排摸，锁定主要帮扶群体，剖析学生产生学业困难的内在动因，依托任课教师坐班答疑、学业帮扶小组、“一对一帮扶”等方式，为学业困难学生制定“一人一策”，加强对学业困难学生的持续关注和个性化过程化辅导；通过建立学业帮扶资源平台、学习打卡制度等方式，帮助学生建立自我监督机制，进一步提高学业困难学生的考试通过率，促进其学业的进步和全面发展。</w:t>
      </w:r>
    </w:p>
    <w:p>
      <w:pPr>
        <w:spacing w:line="360" w:lineRule="auto"/>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（三）深入推进致远计划</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各二级学院建立考研推进工作领导小组，整合校内外资源，通过开展考研动员大会、朋辈考研沙龙等活动，帮助学生明确考研方向和目标；充分发挥任课教师在考研工作中的启蒙、引领和指导作用，组建考研辅导教师团队，开展专业课程辅导答疑及复试精准化指导；开展优秀校友“传、帮、带”服务，邀请学院历届优秀考研校友，为考研学生提供线上交流指导；建立线上考研资料库和信息平台，及时发布考研政策及资讯，帮助学生及时了解相关信息；推进线下考研帮扶措施，有条件的学院建立考研自习室，为学生提供良好的学习环境和充足的学习时间，进一步提高我校考研成功率。</w:t>
      </w:r>
    </w:p>
    <w:p>
      <w:pPr>
        <w:spacing w:line="360" w:lineRule="auto"/>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（四）开展少数民族学生学业帮扶工作</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各二级学院根据《上海电力大学加强少数民族学生培养管理工作实施细则》要求，加强对少数民族学生学业的关心和帮助。安排任课教师对少数民族学生开展答疑辅导，帮助其提升学习兴趣，改进学习方法；制定少数民族学生“一人一策”和“一对一帮扶”制度，积极发挥朋辈引领作用，帮助少数民族学生解决日常学习中存在的困难；选树一批学习成绩优异的少数民族学生典型，定期开展学习交流活动，分享学习心得，交流学习方法，提高少数民族学生的学习自信，进一步解决少数民族学生的学业困难问题。</w:t>
      </w:r>
    </w:p>
    <w:p>
      <w:pPr>
        <w:spacing w:line="360" w:lineRule="auto"/>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（五）深化奖励机制，开展榜样示范教育</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进一步完善评奖评优制度，规范评奖评优流程，以各类奖学金评定和优良学风集体、优良学风先进个人评选为契机，举办优秀学子风采、考研风采展示，大力宣传和表彰学风建设过程中涌现出的先进事例，营造“学习先进，争当先进，赶超先进”的氛围；通过“两微”以及沙龙、座谈、讲座等形式开展学业分享与交流，讲好优良学风励志故事，充分发挥先进典型和学生榜样的示范引领作用。</w:t>
      </w:r>
    </w:p>
    <w:p>
      <w:pPr>
        <w:spacing w:line="360" w:lineRule="auto"/>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（六）完善学业预警机制，加强家校联动</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各二级学院依据《上海电力大学本科生学籍管理规定》和专业培养计划的要求，进一步完善考勤预警、成绩预警、学籍变动预警、毕业预警、处分预警等制度，对学生可能或已经发生的学业问题进行警示，同时开展有针对性的防范、帮扶措施；通过家校联动，充分挖掘家庭教育的能动性，促进学校教育与家庭教育的有机结合，形成学校、家庭育人合力，帮助学生顺利完成学业。</w:t>
      </w:r>
    </w:p>
    <w:p>
      <w:pPr>
        <w:spacing w:line="360" w:lineRule="auto"/>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（七）深化制度建设，强化制度落实</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严格执行上海电力大学教学管理、学生事务管理、校园管理及纪律条例、学生荣誉及奖励等各项教育管理制度，规范开展奖助学金评定发放、评优评先、综合素质测评等工作；通过新生入学教育、首日教育开展校纪校规教育，在新生入学阶段组织校纪校规学习和考试；每学期期末考试前开展诚信教育及考风考纪教育班会，组织学生学习《上海电力大学考场规则》，签订诚信考试承诺书，通过解读典型案例，加深学生对考试违纪作弊危害的认识。严格执行《上海电力大学考试违纪及舞弊处理规定》中关于考试违纪学生的处理办法，采取坚决有效的措施预防和制止考试作弊行为，维护公平的学习竞争环境。鼓励二级学院结合专业特点，开展早、晚自习等多种形式的学习活动，建立长效学习机制。</w:t>
      </w:r>
    </w:p>
    <w:p>
      <w:pPr>
        <w:spacing w:line="360" w:lineRule="auto"/>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四、实施步骤</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（一）每学年开学初，二级学院结合学院学业情况及上一学年学风建设情况，研判学生学习动态，深入分析不良学风存在的原因，有针对性地制定本学年学院学风建设计划，并上报学生工作部（处）。</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（二）二级学院根据学风建设计划，深入开展各项学风建设活动，完善学风建设制度，在完成基本工作要求的同时，结合学院实际情况，积极探索行之有效的学风建设特色活动，营造良好的学风建设氛围。</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（三）二级学院在每学年末对学院学风建设开展情况进行总结，撰写学风建设总结报告，量化学风建设成果，凝练学风工作创新方法，学生工作部（处）将对各二级学院的上交材料进行考核。</w:t>
      </w:r>
    </w:p>
    <w:p>
      <w:pPr>
        <w:spacing w:line="360" w:lineRule="auto"/>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五、工作要求</w:t>
      </w:r>
    </w:p>
    <w:p>
      <w:pPr>
        <w:spacing w:line="360" w:lineRule="auto"/>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（一）统一思想，高度重视</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各二级学院要高度重视、积极部署，站在为党育人、为国育才的高度认识学风建设的重要性，正确认识学风建设对我校“十四五”发展和建设能源电力特色鲜明的高水平应用型大学的重要作用，将学风建设贯彻到学院教学、管理、服务的各个环节，建立学院学风建设长效机制，全力构建“三全育人”体系，形成齐抓共管、全员育人的良好局面。</w:t>
      </w:r>
    </w:p>
    <w:p>
      <w:pPr>
        <w:spacing w:line="360" w:lineRule="auto"/>
        <w:ind w:firstLine="640" w:firstLineChars="200"/>
        <w:rPr>
          <w:rFonts w:hint="eastAsia" w:ascii="楷体" w:hAnsi="楷体" w:eastAsia="楷体" w:cs="Times New Roman"/>
          <w:sz w:val="32"/>
          <w:szCs w:val="32"/>
        </w:rPr>
      </w:pPr>
      <w:r>
        <w:rPr>
          <w:rFonts w:hint="eastAsia" w:ascii="楷体" w:hAnsi="楷体" w:eastAsia="楷体" w:cs="Times New Roman"/>
          <w:sz w:val="32"/>
          <w:szCs w:val="32"/>
          <w:lang w:eastAsia="zh-CN"/>
        </w:rPr>
        <w:t>（二）</w:t>
      </w:r>
      <w:r>
        <w:rPr>
          <w:rFonts w:hint="eastAsia" w:ascii="楷体" w:hAnsi="楷体" w:eastAsia="楷体" w:cs="Times New Roman"/>
          <w:sz w:val="32"/>
          <w:szCs w:val="32"/>
        </w:rPr>
        <w:t>扎实推进，务求实效</w:t>
      </w:r>
    </w:p>
    <w:p>
      <w:pPr>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各二级学院要在落实学校相关工作部署的基础上，结合学院特色和学生特点，健全目标责任，完善制度细则，创造性地开展学风建设活动，在学风建设工作中既有共性，又有特性，打造特色亮点，形成品牌效应；要强化学风建设的过程积累，及时总结学风建设的成效和不足，不断深化学风建设的效果，扎实提升学风建设质量和成效。</w:t>
      </w:r>
    </w:p>
    <w:p>
      <w:pPr>
        <w:widowControl/>
        <w:spacing w:before="75" w:after="75" w:line="48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p>
    <w:p>
      <w:pPr>
        <w:widowControl/>
        <w:spacing w:before="75" w:after="75" w:line="48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p>
    <w:p>
      <w:pPr>
        <w:widowControl/>
        <w:spacing w:before="75" w:after="75" w:line="48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p>
    <w:p>
      <w:pPr>
        <w:spacing w:line="360" w:lineRule="auto"/>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附件一：上海电力大学学风建设工作考核指标</w:t>
      </w:r>
    </w:p>
    <w:p>
      <w:pPr>
        <w:spacing w:line="360" w:lineRule="auto"/>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附件二：上海电力大学二级学院学风建设情况上报表</w:t>
      </w:r>
    </w:p>
    <w:p>
      <w:pPr>
        <w:spacing w:line="360" w:lineRule="auto"/>
        <w:ind w:firstLine="640" w:firstLineChars="200"/>
        <w:rPr>
          <w:rFonts w:hint="eastAsia" w:ascii="仿宋_GB2312" w:hAnsi="Calibri" w:eastAsia="仿宋_GB2312" w:cs="Times New Roman"/>
          <w:sz w:val="32"/>
          <w:szCs w:val="32"/>
        </w:rPr>
      </w:pPr>
    </w:p>
    <w:p>
      <w:pPr>
        <w:spacing w:line="360" w:lineRule="auto"/>
        <w:ind w:firstLine="640" w:firstLineChars="200"/>
        <w:jc w:val="right"/>
        <w:rPr>
          <w:rFonts w:hint="eastAsia" w:ascii="仿宋" w:hAnsi="仿宋" w:eastAsia="仿宋" w:cs="仿宋"/>
          <w:sz w:val="28"/>
          <w:szCs w:val="36"/>
          <w:lang w:val="en-US" w:eastAsia="zh-CN"/>
        </w:rPr>
      </w:pPr>
      <w:r>
        <w:rPr>
          <w:rFonts w:hint="eastAsia" w:ascii="仿宋_GB2312" w:hAnsi="Calibri" w:eastAsia="仿宋_GB2312" w:cs="Times New Roman"/>
          <w:sz w:val="32"/>
          <w:szCs w:val="32"/>
          <w:lang w:val="en-US" w:eastAsia="zh-CN"/>
        </w:rPr>
        <w:t xml:space="preserve">                      </w:t>
      </w:r>
    </w:p>
    <w:p>
      <w:pPr>
        <w:spacing w:line="480" w:lineRule="exact"/>
        <w:ind w:firstLine="560" w:firstLineChars="200"/>
        <w:jc w:val="right"/>
        <w:rPr>
          <w:rFonts w:hint="eastAsia" w:ascii="仿宋" w:hAnsi="仿宋" w:eastAsia="仿宋" w:cs="仿宋"/>
          <w:sz w:val="28"/>
          <w:szCs w:val="36"/>
          <w:lang w:val="en-US" w:eastAsia="zh-CN"/>
        </w:rPr>
      </w:pPr>
    </w:p>
    <w:p>
      <w:pPr>
        <w:spacing w:line="480" w:lineRule="exact"/>
        <w:ind w:firstLine="560" w:firstLineChars="200"/>
        <w:jc w:val="right"/>
        <w:rPr>
          <w:rFonts w:hint="eastAsia" w:ascii="仿宋" w:hAnsi="仿宋" w:eastAsia="仿宋" w:cs="仿宋"/>
          <w:sz w:val="28"/>
          <w:szCs w:val="36"/>
          <w:lang w:val="en-US" w:eastAsia="zh-CN"/>
        </w:rPr>
      </w:pPr>
    </w:p>
    <w:p>
      <w:pPr>
        <w:spacing w:line="480" w:lineRule="exact"/>
        <w:ind w:firstLine="560" w:firstLineChars="200"/>
        <w:jc w:val="right"/>
        <w:rPr>
          <w:rFonts w:hint="eastAsia" w:ascii="仿宋" w:hAnsi="仿宋" w:eastAsia="仿宋" w:cs="仿宋"/>
          <w:sz w:val="28"/>
          <w:szCs w:val="36"/>
          <w:lang w:val="en-US" w:eastAsia="zh-CN"/>
        </w:rPr>
      </w:pPr>
    </w:p>
    <w:p>
      <w:pPr>
        <w:spacing w:line="480" w:lineRule="exact"/>
        <w:ind w:firstLine="560" w:firstLineChars="200"/>
        <w:jc w:val="right"/>
        <w:rPr>
          <w:rFonts w:hint="eastAsia" w:ascii="仿宋" w:hAnsi="仿宋" w:eastAsia="仿宋" w:cs="仿宋"/>
          <w:sz w:val="28"/>
          <w:szCs w:val="36"/>
          <w:lang w:val="en-US" w:eastAsia="zh-CN"/>
        </w:rPr>
      </w:pPr>
    </w:p>
    <w:p>
      <w:pPr>
        <w:spacing w:line="480" w:lineRule="exact"/>
        <w:ind w:firstLine="560" w:firstLineChars="200"/>
        <w:jc w:val="right"/>
        <w:rPr>
          <w:rFonts w:hint="eastAsia" w:ascii="仿宋" w:hAnsi="仿宋" w:eastAsia="仿宋" w:cs="仿宋"/>
          <w:sz w:val="28"/>
          <w:szCs w:val="36"/>
          <w:lang w:val="en-US" w:eastAsia="zh-CN"/>
        </w:rPr>
      </w:pPr>
      <w:bookmarkStart w:id="0" w:name="_GoBack"/>
      <w:bookmarkEnd w:id="0"/>
    </w:p>
    <w:p>
      <w:pPr>
        <w:spacing w:line="360" w:lineRule="auto"/>
        <w:ind w:right="960"/>
        <w:jc w:val="left"/>
        <w:rPr>
          <w:rFonts w:hint="eastAsia" w:ascii="仿宋_GB2312" w:hAnsi="仿宋_GB2312" w:eastAsia="仿宋_GB2312" w:cs="仿宋_GB2312"/>
          <w:sz w:val="28"/>
          <w:szCs w:val="28"/>
        </w:rPr>
      </w:pPr>
    </w:p>
    <w:p>
      <w:pPr>
        <w:wordWrap w:val="0"/>
        <w:spacing w:line="360" w:lineRule="auto"/>
        <w:ind w:right="260"/>
        <w:jc w:val="right"/>
        <w:rPr>
          <w:rFonts w:ascii="黑体" w:hAnsi="黑体" w:eastAsia="黑体" w:cs="黑体"/>
          <w:color w:val="000000" w:themeColor="text1"/>
          <w:kern w:val="0"/>
          <w:sz w:val="24"/>
          <w14:textFill>
            <w14:solidFill>
              <w14:schemeClr w14:val="tx1"/>
            </w14:solidFill>
          </w14:textFill>
        </w:rPr>
      </w:pP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410845</wp:posOffset>
                </wp:positionV>
                <wp:extent cx="561594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3pt;margin-top:32.35pt;height:0pt;width:442.2pt;z-index:251660288;mso-width-relative:page;mso-height-relative:page;" filled="f" stroked="t" coordsize="21600,21600" o:gfxdata="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D2LftcAAAAJAQAADwAAAAAAAAABACAAAAAiAAAAZHJzL2Rvd25yZXYu&#10;eG1sUEsBAhQAFAAAAAgAh07iQIDGKpf8AQAA7AMAAA4AAAAAAAAAAQAgAAAAJgEAAGRycy9lMm9E&#10;b2MueG1sUEsFBgAAAAAGAAYAWQEAAJQFAAAAAA==&#10;">
                <v:fill on="f" focussize="0,0"/>
                <v:stroke weight="0.5pt" color="#000000" joinstyle="round"/>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10795</wp:posOffset>
                </wp:positionV>
                <wp:extent cx="561594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15940"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3pt;margin-top:0.85pt;height:0pt;width:442.2pt;z-index:251659264;mso-width-relative:page;mso-height-relative:page;" filled="f" stroked="t" coordsize="21600,21600" o:gfxdata="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NeS8tQAAAAHAQAADwAAAAAAAAABACAAAAAiAAAAZHJzL2Rvd25yZXYueG1s&#10;UEsBAhQAFAAAAAgAh07iQG35vuD8AQAA7AMAAA4AAAAAAAAAAQAgAAAAIwEAAGRycy9lMm9Eb2Mu&#10;eG1sUEsFBgAAAAAGAAYAWQEAAJEFAAAAAA==&#10;">
                <v:fill on="f" focussize="0,0"/>
                <v:stroke weight="0.5pt" color="#000000" joinstyle="round"/>
                <v:imagedata o:title=""/>
                <o:lock v:ext="edit" aspectratio="f"/>
              </v:shape>
            </w:pict>
          </mc:Fallback>
        </mc:AlternateContent>
      </w:r>
      <w:r>
        <w:rPr>
          <w:rFonts w:hint="eastAsia" w:ascii="仿宋_GB2312" w:hAnsi="仿宋_GB2312" w:eastAsia="仿宋_GB2312" w:cs="仿宋_GB2312"/>
          <w:sz w:val="28"/>
          <w:szCs w:val="28"/>
        </w:rPr>
        <w:t xml:space="preserve">上海电力大学学生工作部（处）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2021年10月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日印发</w:t>
      </w:r>
      <w:r>
        <w:rPr>
          <w:rFonts w:ascii="黑体" w:hAnsi="黑体" w:eastAsia="黑体" w:cs="黑体"/>
          <w:color w:val="000000" w:themeColor="text1"/>
          <w:kern w:val="0"/>
          <w:sz w:val="24"/>
          <w14:textFill>
            <w14:solidFill>
              <w14:schemeClr w14:val="tx1"/>
            </w14:solidFill>
          </w14:textFill>
        </w:rPr>
        <w:br w:type="page"/>
      </w:r>
    </w:p>
    <w:p>
      <w:pPr>
        <w:widowControl/>
        <w:spacing w:before="75" w:line="480" w:lineRule="exact"/>
        <w:jc w:val="left"/>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附件一：</w:t>
      </w:r>
    </w:p>
    <w:p>
      <w:pPr>
        <w:widowControl/>
        <w:spacing w:before="75" w:after="75" w:line="480" w:lineRule="exact"/>
        <w:jc w:val="center"/>
        <w:rPr>
          <w:rFonts w:ascii="黑体" w:hAnsi="黑体" w:eastAsia="黑体" w:cs="黑体"/>
          <w:b/>
          <w:bCs/>
          <w:color w:val="000000" w:themeColor="text1"/>
          <w:kern w:val="0"/>
          <w:sz w:val="22"/>
          <w:szCs w:val="22"/>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上海电力大学学风建设工作考核指标</w:t>
      </w:r>
    </w:p>
    <w:tbl>
      <w:tblPr>
        <w:tblStyle w:val="3"/>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920"/>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50" w:type="dxa"/>
          </w:tcPr>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一级指标</w:t>
            </w:r>
          </w:p>
        </w:tc>
        <w:tc>
          <w:tcPr>
            <w:tcW w:w="1920" w:type="dxa"/>
          </w:tcPr>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二级指标</w:t>
            </w:r>
          </w:p>
        </w:tc>
        <w:tc>
          <w:tcPr>
            <w:tcW w:w="6042" w:type="dxa"/>
          </w:tcPr>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50" w:type="dxa"/>
            <w:vMerge w:val="restart"/>
            <w:vAlign w:val="center"/>
          </w:tcPr>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工作</w:t>
            </w:r>
          </w:p>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机制</w:t>
            </w:r>
          </w:p>
        </w:tc>
        <w:tc>
          <w:tcPr>
            <w:tcW w:w="1920" w:type="dxa"/>
            <w:vAlign w:val="center"/>
          </w:tcPr>
          <w:p>
            <w:pPr>
              <w:widowControl/>
              <w:adjustRightInd w:val="0"/>
              <w:snapToGrid w:val="0"/>
              <w:spacing w:line="420" w:lineRule="exact"/>
              <w:jc w:val="center"/>
              <w:rPr>
                <w:rFonts w:ascii="仿宋" w:hAnsi="仿宋" w:eastAsia="仿宋" w:cs="仿宋"/>
                <w:color w:val="000000"/>
                <w:kern w:val="0"/>
                <w:sz w:val="24"/>
              </w:rPr>
            </w:pPr>
            <w:r>
              <w:rPr>
                <w:rFonts w:hint="eastAsia" w:ascii="仿宋" w:hAnsi="仿宋" w:eastAsia="仿宋" w:cs="仿宋"/>
                <w:color w:val="000000"/>
                <w:kern w:val="0"/>
                <w:sz w:val="24"/>
              </w:rPr>
              <w:t>1.1组织机构</w:t>
            </w:r>
          </w:p>
        </w:tc>
        <w:tc>
          <w:tcPr>
            <w:tcW w:w="6042" w:type="dxa"/>
            <w:vAlign w:val="center"/>
          </w:tcPr>
          <w:p>
            <w:pPr>
              <w:widowControl/>
              <w:adjustRightInd w:val="0"/>
              <w:snapToGrid w:val="0"/>
              <w:spacing w:line="420" w:lineRule="exact"/>
              <w:jc w:val="left"/>
              <w:rPr>
                <w:rFonts w:ascii="仿宋" w:hAnsi="仿宋" w:eastAsia="仿宋" w:cs="仿宋"/>
                <w:color w:val="000000"/>
                <w:kern w:val="0"/>
                <w:sz w:val="24"/>
              </w:rPr>
            </w:pPr>
            <w:r>
              <w:rPr>
                <w:rFonts w:hint="eastAsia" w:ascii="仿宋" w:hAnsi="仿宋" w:eastAsia="仿宋" w:cs="仿宋"/>
                <w:color w:val="000000"/>
                <w:kern w:val="0"/>
                <w:sz w:val="24"/>
              </w:rPr>
              <w:t>有健全的组织领导机构，各项工作具体落实责任人，职责明确，运转高效。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50" w:type="dxa"/>
            <w:vMerge w:val="continue"/>
            <w:vAlign w:val="center"/>
          </w:tcPr>
          <w:p>
            <w:pPr>
              <w:widowControl/>
              <w:spacing w:line="420" w:lineRule="exact"/>
              <w:jc w:val="center"/>
              <w:rPr>
                <w:rFonts w:ascii="仿宋" w:hAnsi="仿宋" w:eastAsia="仿宋" w:cs="仿宋"/>
                <w:b/>
                <w:bCs/>
                <w:color w:val="000000"/>
                <w:kern w:val="0"/>
                <w:sz w:val="24"/>
              </w:rPr>
            </w:pPr>
          </w:p>
        </w:tc>
        <w:tc>
          <w:tcPr>
            <w:tcW w:w="1920" w:type="dxa"/>
            <w:vAlign w:val="center"/>
          </w:tcPr>
          <w:p>
            <w:pPr>
              <w:widowControl/>
              <w:adjustRightInd w:val="0"/>
              <w:snapToGrid w:val="0"/>
              <w:spacing w:line="420" w:lineRule="exact"/>
              <w:jc w:val="center"/>
              <w:rPr>
                <w:rFonts w:ascii="仿宋" w:hAnsi="仿宋" w:eastAsia="仿宋" w:cs="仿宋"/>
                <w:color w:val="000000"/>
                <w:kern w:val="0"/>
                <w:sz w:val="24"/>
              </w:rPr>
            </w:pPr>
            <w:r>
              <w:rPr>
                <w:rFonts w:hint="eastAsia" w:ascii="仿宋" w:hAnsi="仿宋" w:eastAsia="仿宋" w:cs="仿宋"/>
                <w:color w:val="000000"/>
                <w:kern w:val="0"/>
                <w:sz w:val="24"/>
              </w:rPr>
              <w:t>1.2建设规划</w:t>
            </w:r>
          </w:p>
        </w:tc>
        <w:tc>
          <w:tcPr>
            <w:tcW w:w="6042" w:type="dxa"/>
            <w:vAlign w:val="center"/>
          </w:tcPr>
          <w:p>
            <w:pPr>
              <w:widowControl/>
              <w:adjustRightInd w:val="0"/>
              <w:snapToGrid w:val="0"/>
              <w:spacing w:line="420" w:lineRule="exact"/>
              <w:jc w:val="left"/>
              <w:rPr>
                <w:rFonts w:ascii="仿宋" w:hAnsi="仿宋" w:eastAsia="仿宋" w:cs="仿宋"/>
                <w:color w:val="000000"/>
                <w:kern w:val="0"/>
                <w:sz w:val="24"/>
              </w:rPr>
            </w:pPr>
            <w:r>
              <w:rPr>
                <w:rFonts w:hint="eastAsia" w:ascii="仿宋" w:hAnsi="仿宋" w:eastAsia="仿宋" w:cs="仿宋"/>
                <w:color w:val="000000"/>
                <w:kern w:val="0"/>
                <w:sz w:val="24"/>
              </w:rPr>
              <w:t>学风建设思路清晰、定位准确，工作地位突出，有明确的建设规划，并通过班团建设有效实施。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jc w:val="center"/>
        </w:trPr>
        <w:tc>
          <w:tcPr>
            <w:tcW w:w="1250" w:type="dxa"/>
            <w:vMerge w:val="continue"/>
            <w:vAlign w:val="center"/>
          </w:tcPr>
          <w:p>
            <w:pPr>
              <w:widowControl/>
              <w:spacing w:line="420" w:lineRule="exact"/>
              <w:jc w:val="center"/>
              <w:rPr>
                <w:rFonts w:ascii="仿宋" w:hAnsi="仿宋" w:eastAsia="仿宋" w:cs="仿宋"/>
                <w:b/>
                <w:bCs/>
                <w:color w:val="000000"/>
                <w:kern w:val="0"/>
                <w:sz w:val="24"/>
              </w:rPr>
            </w:pPr>
          </w:p>
        </w:tc>
        <w:tc>
          <w:tcPr>
            <w:tcW w:w="1920" w:type="dxa"/>
            <w:vAlign w:val="center"/>
          </w:tcPr>
          <w:p>
            <w:pPr>
              <w:widowControl/>
              <w:adjustRightInd w:val="0"/>
              <w:snapToGrid w:val="0"/>
              <w:spacing w:line="420" w:lineRule="exact"/>
              <w:jc w:val="center"/>
              <w:rPr>
                <w:rFonts w:ascii="仿宋" w:hAnsi="仿宋" w:eastAsia="仿宋" w:cs="仿宋"/>
                <w:color w:val="000000"/>
                <w:kern w:val="0"/>
                <w:sz w:val="24"/>
              </w:rPr>
            </w:pPr>
            <w:r>
              <w:rPr>
                <w:rFonts w:hint="eastAsia" w:ascii="仿宋" w:hAnsi="仿宋" w:eastAsia="仿宋" w:cs="仿宋"/>
                <w:color w:val="000000"/>
                <w:kern w:val="0"/>
                <w:sz w:val="24"/>
              </w:rPr>
              <w:t>1.3长效机制</w:t>
            </w:r>
          </w:p>
        </w:tc>
        <w:tc>
          <w:tcPr>
            <w:tcW w:w="6042" w:type="dxa"/>
            <w:vAlign w:val="center"/>
          </w:tcPr>
          <w:p>
            <w:pPr>
              <w:widowControl/>
              <w:adjustRightInd w:val="0"/>
              <w:snapToGrid w:val="0"/>
              <w:spacing w:line="420" w:lineRule="exact"/>
              <w:jc w:val="left"/>
              <w:rPr>
                <w:rFonts w:ascii="仿宋" w:hAnsi="仿宋" w:eastAsia="仿宋" w:cs="仿宋"/>
                <w:color w:val="000000"/>
                <w:kern w:val="0"/>
                <w:sz w:val="24"/>
              </w:rPr>
            </w:pPr>
            <w:r>
              <w:rPr>
                <w:rFonts w:hint="eastAsia" w:ascii="仿宋" w:hAnsi="仿宋" w:eastAsia="仿宋" w:cs="仿宋"/>
                <w:color w:val="000000"/>
                <w:kern w:val="0"/>
                <w:sz w:val="24"/>
              </w:rPr>
              <w:t>具有完善的学风建设长效机制，包括运行机制、监督机制、激励机制、保障机制等。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50" w:type="dxa"/>
            <w:vMerge w:val="restart"/>
            <w:vAlign w:val="center"/>
          </w:tcPr>
          <w:p>
            <w:pPr>
              <w:widowControl/>
              <w:adjustRightInd w:val="0"/>
              <w:snapToGrid w:val="0"/>
              <w:spacing w:line="420" w:lineRule="exact"/>
              <w:jc w:val="center"/>
              <w:rPr>
                <w:rFonts w:ascii="仿宋" w:hAnsi="仿宋" w:eastAsia="仿宋" w:cs="仿宋"/>
                <w:b/>
                <w:bCs/>
                <w:color w:val="000000"/>
                <w:kern w:val="0"/>
                <w:sz w:val="24"/>
              </w:rPr>
            </w:pPr>
          </w:p>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日常</w:t>
            </w:r>
          </w:p>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管理</w:t>
            </w:r>
          </w:p>
          <w:p>
            <w:pPr>
              <w:widowControl/>
              <w:adjustRightInd w:val="0"/>
              <w:snapToGrid w:val="0"/>
              <w:spacing w:line="420" w:lineRule="exact"/>
              <w:jc w:val="center"/>
              <w:rPr>
                <w:rFonts w:ascii="仿宋" w:hAnsi="仿宋" w:eastAsia="仿宋" w:cs="仿宋"/>
                <w:b/>
                <w:bCs/>
                <w:color w:val="000000"/>
                <w:kern w:val="0"/>
                <w:sz w:val="24"/>
              </w:rPr>
            </w:pPr>
          </w:p>
        </w:tc>
        <w:tc>
          <w:tcPr>
            <w:tcW w:w="1920" w:type="dxa"/>
            <w:vAlign w:val="center"/>
          </w:tcPr>
          <w:p>
            <w:pPr>
              <w:widowControl/>
              <w:adjustRightInd w:val="0"/>
              <w:snapToGrid w:val="0"/>
              <w:spacing w:line="420" w:lineRule="exact"/>
              <w:jc w:val="center"/>
              <w:rPr>
                <w:rFonts w:ascii="仿宋" w:hAnsi="仿宋" w:eastAsia="仿宋" w:cs="仿宋"/>
                <w:color w:val="000000"/>
                <w:kern w:val="0"/>
                <w:sz w:val="24"/>
              </w:rPr>
            </w:pPr>
          </w:p>
          <w:p>
            <w:pPr>
              <w:widowControl/>
              <w:adjustRightInd w:val="0"/>
              <w:snapToGrid w:val="0"/>
              <w:spacing w:line="420" w:lineRule="exact"/>
              <w:jc w:val="center"/>
              <w:rPr>
                <w:rFonts w:ascii="仿宋" w:hAnsi="仿宋" w:eastAsia="仿宋" w:cs="仿宋"/>
                <w:color w:val="000000"/>
                <w:kern w:val="0"/>
                <w:sz w:val="24"/>
              </w:rPr>
            </w:pPr>
            <w:r>
              <w:rPr>
                <w:rFonts w:hint="eastAsia" w:ascii="仿宋" w:hAnsi="仿宋" w:eastAsia="仿宋" w:cs="仿宋"/>
                <w:color w:val="000000"/>
                <w:kern w:val="0"/>
                <w:sz w:val="24"/>
              </w:rPr>
              <w:t>2.1思政教育</w:t>
            </w:r>
          </w:p>
          <w:p>
            <w:pPr>
              <w:widowControl/>
              <w:adjustRightInd w:val="0"/>
              <w:snapToGrid w:val="0"/>
              <w:spacing w:line="420" w:lineRule="exact"/>
              <w:jc w:val="center"/>
              <w:rPr>
                <w:rFonts w:ascii="仿宋" w:hAnsi="仿宋" w:eastAsia="仿宋" w:cs="仿宋"/>
                <w:color w:val="000000"/>
                <w:kern w:val="0"/>
                <w:sz w:val="24"/>
              </w:rPr>
            </w:pPr>
          </w:p>
        </w:tc>
        <w:tc>
          <w:tcPr>
            <w:tcW w:w="6042" w:type="dxa"/>
            <w:vAlign w:val="center"/>
          </w:tcPr>
          <w:p>
            <w:pPr>
              <w:widowControl/>
              <w:adjustRightInd w:val="0"/>
              <w:snapToGrid w:val="0"/>
              <w:spacing w:line="420" w:lineRule="exact"/>
              <w:jc w:val="left"/>
              <w:rPr>
                <w:rFonts w:ascii="仿宋" w:hAnsi="仿宋" w:eastAsia="仿宋" w:cs="仿宋"/>
                <w:kern w:val="0"/>
                <w:sz w:val="24"/>
              </w:rPr>
            </w:pPr>
            <w:r>
              <w:rPr>
                <w:rFonts w:hint="eastAsia" w:ascii="仿宋" w:hAnsi="仿宋" w:eastAsia="仿宋" w:cs="仿宋"/>
                <w:kern w:val="0"/>
                <w:sz w:val="24"/>
              </w:rPr>
              <w:t>有效开展新形势下大学生思想政治工作，召开专题学风建设工作会议，辅导员、班主任、专业课老师经常关心学生学习情况。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50" w:type="dxa"/>
            <w:vMerge w:val="continue"/>
            <w:vAlign w:val="center"/>
          </w:tcPr>
          <w:p>
            <w:pPr>
              <w:widowControl/>
              <w:adjustRightInd w:val="0"/>
              <w:snapToGrid w:val="0"/>
              <w:spacing w:line="420" w:lineRule="exact"/>
              <w:jc w:val="center"/>
              <w:rPr>
                <w:rFonts w:ascii="仿宋" w:hAnsi="仿宋" w:eastAsia="仿宋" w:cs="仿宋"/>
                <w:b/>
                <w:bCs/>
                <w:color w:val="000000"/>
                <w:kern w:val="0"/>
                <w:sz w:val="24"/>
              </w:rPr>
            </w:pPr>
          </w:p>
        </w:tc>
        <w:tc>
          <w:tcPr>
            <w:tcW w:w="1920" w:type="dxa"/>
            <w:vAlign w:val="center"/>
          </w:tcPr>
          <w:p>
            <w:pPr>
              <w:widowControl/>
              <w:adjustRightInd w:val="0"/>
              <w:snapToGrid w:val="0"/>
              <w:spacing w:line="420" w:lineRule="exact"/>
              <w:jc w:val="center"/>
              <w:rPr>
                <w:rFonts w:ascii="仿宋" w:hAnsi="仿宋" w:eastAsia="仿宋" w:cs="仿宋"/>
                <w:color w:val="000000"/>
                <w:kern w:val="0"/>
                <w:sz w:val="24"/>
              </w:rPr>
            </w:pPr>
            <w:r>
              <w:rPr>
                <w:rFonts w:hint="eastAsia" w:ascii="仿宋" w:hAnsi="仿宋" w:eastAsia="仿宋" w:cs="仿宋"/>
                <w:color w:val="000000"/>
                <w:kern w:val="0"/>
                <w:sz w:val="24"/>
              </w:rPr>
              <w:t>2.2考风考纪</w:t>
            </w:r>
          </w:p>
        </w:tc>
        <w:tc>
          <w:tcPr>
            <w:tcW w:w="6042" w:type="dxa"/>
            <w:vAlign w:val="center"/>
          </w:tcPr>
          <w:p>
            <w:pPr>
              <w:widowControl/>
              <w:adjustRightInd w:val="0"/>
              <w:snapToGrid w:val="0"/>
              <w:spacing w:line="420" w:lineRule="exact"/>
              <w:jc w:val="left"/>
              <w:rPr>
                <w:rFonts w:ascii="仿宋" w:hAnsi="仿宋" w:eastAsia="仿宋" w:cs="仿宋"/>
                <w:color w:val="000000"/>
                <w:kern w:val="0"/>
                <w:sz w:val="24"/>
              </w:rPr>
            </w:pPr>
            <w:r>
              <w:rPr>
                <w:rFonts w:hint="eastAsia" w:ascii="仿宋" w:hAnsi="仿宋" w:eastAsia="仿宋" w:cs="仿宋"/>
                <w:color w:val="000000"/>
                <w:kern w:val="0"/>
                <w:sz w:val="24"/>
              </w:rPr>
              <w:t>诚信考试教育深入广泛，巡考制度严格落实，学院违纪率低。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50" w:type="dxa"/>
            <w:vMerge w:val="continue"/>
            <w:vAlign w:val="center"/>
          </w:tcPr>
          <w:p>
            <w:pPr>
              <w:widowControl/>
              <w:adjustRightInd w:val="0"/>
              <w:snapToGrid w:val="0"/>
              <w:spacing w:line="420" w:lineRule="exact"/>
              <w:jc w:val="center"/>
              <w:rPr>
                <w:rFonts w:ascii="仿宋" w:hAnsi="仿宋" w:eastAsia="仿宋" w:cs="仿宋"/>
                <w:b/>
                <w:bCs/>
                <w:color w:val="000000"/>
                <w:kern w:val="0"/>
                <w:sz w:val="24"/>
              </w:rPr>
            </w:pPr>
          </w:p>
        </w:tc>
        <w:tc>
          <w:tcPr>
            <w:tcW w:w="1920" w:type="dxa"/>
            <w:vAlign w:val="center"/>
          </w:tcPr>
          <w:p>
            <w:pPr>
              <w:widowControl/>
              <w:adjustRightInd w:val="0"/>
              <w:snapToGrid w:val="0"/>
              <w:spacing w:line="420" w:lineRule="exact"/>
              <w:jc w:val="center"/>
              <w:rPr>
                <w:rFonts w:ascii="仿宋" w:hAnsi="仿宋" w:eastAsia="仿宋" w:cs="仿宋"/>
                <w:kern w:val="0"/>
                <w:sz w:val="24"/>
              </w:rPr>
            </w:pPr>
            <w:r>
              <w:rPr>
                <w:rFonts w:hint="eastAsia" w:ascii="仿宋" w:hAnsi="仿宋" w:eastAsia="仿宋" w:cs="仿宋"/>
                <w:kern w:val="0"/>
                <w:sz w:val="24"/>
              </w:rPr>
              <w:t>2.3 寝室学风</w:t>
            </w:r>
          </w:p>
        </w:tc>
        <w:tc>
          <w:tcPr>
            <w:tcW w:w="6042" w:type="dxa"/>
            <w:vAlign w:val="center"/>
          </w:tcPr>
          <w:p>
            <w:pPr>
              <w:widowControl/>
              <w:adjustRightInd w:val="0"/>
              <w:snapToGrid w:val="0"/>
              <w:spacing w:line="420" w:lineRule="exact"/>
              <w:jc w:val="left"/>
              <w:rPr>
                <w:rFonts w:ascii="仿宋" w:hAnsi="仿宋" w:eastAsia="仿宋" w:cs="仿宋"/>
                <w:kern w:val="0"/>
                <w:sz w:val="24"/>
              </w:rPr>
            </w:pPr>
            <w:r>
              <w:rPr>
                <w:rFonts w:hint="eastAsia" w:ascii="仿宋" w:hAnsi="仿宋" w:eastAsia="仿宋" w:cs="仿宋"/>
                <w:kern w:val="0"/>
                <w:sz w:val="24"/>
              </w:rPr>
              <w:t>突出宿舍文化建设，营造良好的学习氛围；建立有效监督和管理机制，加强学生学习习惯的养成。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50" w:type="dxa"/>
            <w:vMerge w:val="restart"/>
            <w:vAlign w:val="center"/>
          </w:tcPr>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平台</w:t>
            </w:r>
          </w:p>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建设</w:t>
            </w:r>
          </w:p>
        </w:tc>
        <w:tc>
          <w:tcPr>
            <w:tcW w:w="1920" w:type="dxa"/>
            <w:vAlign w:val="center"/>
          </w:tcPr>
          <w:p>
            <w:pPr>
              <w:widowControl/>
              <w:adjustRightInd w:val="0"/>
              <w:snapToGrid w:val="0"/>
              <w:spacing w:line="420" w:lineRule="exact"/>
              <w:jc w:val="center"/>
              <w:rPr>
                <w:rFonts w:ascii="仿宋" w:hAnsi="仿宋" w:eastAsia="仿宋" w:cs="仿宋"/>
                <w:color w:val="000000"/>
                <w:kern w:val="0"/>
                <w:sz w:val="24"/>
              </w:rPr>
            </w:pPr>
            <w:r>
              <w:rPr>
                <w:rFonts w:hint="eastAsia" w:ascii="仿宋" w:hAnsi="仿宋" w:eastAsia="仿宋" w:cs="仿宋"/>
                <w:color w:val="000000"/>
                <w:kern w:val="0"/>
                <w:sz w:val="24"/>
              </w:rPr>
              <w:t>3.1学业帮扶</w:t>
            </w:r>
          </w:p>
        </w:tc>
        <w:tc>
          <w:tcPr>
            <w:tcW w:w="6042" w:type="dxa"/>
            <w:vAlign w:val="center"/>
          </w:tcPr>
          <w:p>
            <w:pPr>
              <w:widowControl/>
              <w:adjustRightInd w:val="0"/>
              <w:snapToGrid w:val="0"/>
              <w:spacing w:line="420" w:lineRule="exact"/>
              <w:jc w:val="left"/>
              <w:rPr>
                <w:rFonts w:ascii="仿宋" w:hAnsi="仿宋" w:eastAsia="仿宋" w:cs="仿宋"/>
                <w:color w:val="000000"/>
                <w:kern w:val="0"/>
                <w:sz w:val="24"/>
              </w:rPr>
            </w:pPr>
            <w:r>
              <w:rPr>
                <w:rFonts w:hint="eastAsia" w:ascii="仿宋" w:hAnsi="仿宋" w:eastAsia="仿宋" w:cs="仿宋"/>
                <w:color w:val="000000"/>
                <w:kern w:val="0"/>
                <w:sz w:val="24"/>
              </w:rPr>
              <w:t>学业帮扶工作组织到位，工作扎实有效，学生收获大，帮扶效果好，学生考试通过率有明显提升。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50" w:type="dxa"/>
            <w:vMerge w:val="continue"/>
            <w:vAlign w:val="center"/>
          </w:tcPr>
          <w:p>
            <w:pPr>
              <w:widowControl/>
              <w:adjustRightInd w:val="0"/>
              <w:snapToGrid w:val="0"/>
              <w:spacing w:line="420" w:lineRule="exact"/>
              <w:jc w:val="center"/>
              <w:rPr>
                <w:rFonts w:ascii="仿宋" w:hAnsi="仿宋" w:eastAsia="仿宋" w:cs="仿宋"/>
                <w:b/>
                <w:bCs/>
                <w:color w:val="000000"/>
                <w:kern w:val="0"/>
                <w:sz w:val="24"/>
              </w:rPr>
            </w:pPr>
          </w:p>
        </w:tc>
        <w:tc>
          <w:tcPr>
            <w:tcW w:w="1920" w:type="dxa"/>
            <w:vAlign w:val="center"/>
          </w:tcPr>
          <w:p>
            <w:pPr>
              <w:widowControl/>
              <w:adjustRightInd w:val="0"/>
              <w:snapToGrid w:val="0"/>
              <w:spacing w:line="420" w:lineRule="exact"/>
              <w:jc w:val="center"/>
              <w:rPr>
                <w:rFonts w:ascii="仿宋" w:hAnsi="仿宋" w:eastAsia="仿宋" w:cs="仿宋"/>
                <w:color w:val="000000"/>
                <w:kern w:val="0"/>
                <w:sz w:val="24"/>
              </w:rPr>
            </w:pPr>
            <w:r>
              <w:rPr>
                <w:rFonts w:hint="eastAsia" w:ascii="仿宋" w:hAnsi="仿宋" w:eastAsia="仿宋" w:cs="仿宋"/>
                <w:color w:val="000000"/>
                <w:kern w:val="0"/>
                <w:sz w:val="24"/>
              </w:rPr>
              <w:t>3.2 科技创新</w:t>
            </w:r>
          </w:p>
        </w:tc>
        <w:tc>
          <w:tcPr>
            <w:tcW w:w="6042" w:type="dxa"/>
            <w:vAlign w:val="center"/>
          </w:tcPr>
          <w:p>
            <w:pPr>
              <w:widowControl/>
              <w:adjustRightInd w:val="0"/>
              <w:snapToGrid w:val="0"/>
              <w:spacing w:line="420" w:lineRule="exact"/>
              <w:jc w:val="left"/>
              <w:rPr>
                <w:rFonts w:ascii="仿宋" w:hAnsi="仿宋" w:eastAsia="仿宋" w:cs="仿宋"/>
                <w:color w:val="000000"/>
                <w:kern w:val="0"/>
                <w:sz w:val="24"/>
              </w:rPr>
            </w:pPr>
            <w:r>
              <w:rPr>
                <w:rFonts w:hint="eastAsia" w:ascii="仿宋" w:hAnsi="仿宋" w:eastAsia="仿宋" w:cs="仿宋"/>
                <w:color w:val="000000"/>
                <w:kern w:val="0"/>
                <w:sz w:val="24"/>
              </w:rPr>
              <w:t>学院科创氛围浓厚，科创活动丰富，对参加科创学生有针对性的指导帮助，科创竞赛、学科竞赛参与率和获奖率有明显提升。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50" w:type="dxa"/>
            <w:vMerge w:val="continue"/>
            <w:vAlign w:val="center"/>
          </w:tcPr>
          <w:p>
            <w:pPr>
              <w:widowControl/>
              <w:adjustRightInd w:val="0"/>
              <w:snapToGrid w:val="0"/>
              <w:spacing w:line="420" w:lineRule="exact"/>
              <w:jc w:val="center"/>
              <w:rPr>
                <w:rFonts w:ascii="仿宋" w:hAnsi="仿宋" w:eastAsia="仿宋" w:cs="仿宋"/>
                <w:b/>
                <w:bCs/>
                <w:color w:val="000000"/>
                <w:kern w:val="0"/>
                <w:sz w:val="24"/>
              </w:rPr>
            </w:pPr>
          </w:p>
        </w:tc>
        <w:tc>
          <w:tcPr>
            <w:tcW w:w="1920" w:type="dxa"/>
            <w:vAlign w:val="center"/>
          </w:tcPr>
          <w:p>
            <w:pPr>
              <w:widowControl/>
              <w:adjustRightInd w:val="0"/>
              <w:snapToGrid w:val="0"/>
              <w:spacing w:line="420" w:lineRule="exact"/>
              <w:jc w:val="center"/>
              <w:rPr>
                <w:rFonts w:ascii="仿宋" w:hAnsi="仿宋" w:eastAsia="仿宋" w:cs="仿宋"/>
                <w:kern w:val="0"/>
                <w:sz w:val="24"/>
              </w:rPr>
            </w:pPr>
            <w:r>
              <w:rPr>
                <w:rFonts w:hint="eastAsia" w:ascii="仿宋" w:hAnsi="仿宋" w:eastAsia="仿宋" w:cs="仿宋"/>
                <w:kern w:val="0"/>
                <w:sz w:val="24"/>
              </w:rPr>
              <w:t>3.3 致远计划</w:t>
            </w:r>
          </w:p>
        </w:tc>
        <w:tc>
          <w:tcPr>
            <w:tcW w:w="6042" w:type="dxa"/>
            <w:vAlign w:val="center"/>
          </w:tcPr>
          <w:p>
            <w:pPr>
              <w:widowControl/>
              <w:adjustRightInd w:val="0"/>
              <w:snapToGrid w:val="0"/>
              <w:spacing w:line="420" w:lineRule="exact"/>
              <w:jc w:val="left"/>
              <w:rPr>
                <w:rFonts w:ascii="仿宋" w:hAnsi="仿宋" w:eastAsia="仿宋" w:cs="仿宋"/>
                <w:kern w:val="0"/>
                <w:sz w:val="24"/>
              </w:rPr>
            </w:pPr>
            <w:r>
              <w:rPr>
                <w:rFonts w:hint="eastAsia" w:ascii="仿宋" w:hAnsi="仿宋" w:eastAsia="仿宋" w:cs="仿宋"/>
                <w:kern w:val="0"/>
                <w:sz w:val="24"/>
              </w:rPr>
              <w:t>建立考研推进工作领导小组，通过整合校内外资源，开展各项活动，提高学院考研率。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50" w:type="dxa"/>
            <w:vMerge w:val="continue"/>
            <w:vAlign w:val="center"/>
          </w:tcPr>
          <w:p>
            <w:pPr>
              <w:widowControl/>
              <w:adjustRightInd w:val="0"/>
              <w:snapToGrid w:val="0"/>
              <w:spacing w:line="420" w:lineRule="exact"/>
              <w:jc w:val="center"/>
              <w:rPr>
                <w:rFonts w:ascii="仿宋" w:hAnsi="仿宋" w:eastAsia="仿宋" w:cs="仿宋"/>
                <w:b/>
                <w:bCs/>
                <w:color w:val="000000"/>
                <w:kern w:val="0"/>
                <w:sz w:val="24"/>
              </w:rPr>
            </w:pPr>
          </w:p>
        </w:tc>
        <w:tc>
          <w:tcPr>
            <w:tcW w:w="1920" w:type="dxa"/>
            <w:vAlign w:val="center"/>
          </w:tcPr>
          <w:p>
            <w:pPr>
              <w:widowControl/>
              <w:adjustRightInd w:val="0"/>
              <w:snapToGrid w:val="0"/>
              <w:spacing w:line="420" w:lineRule="exact"/>
              <w:jc w:val="center"/>
              <w:rPr>
                <w:rFonts w:ascii="仿宋" w:hAnsi="仿宋" w:eastAsia="仿宋" w:cs="仿宋"/>
                <w:color w:val="000000"/>
                <w:kern w:val="0"/>
                <w:sz w:val="24"/>
              </w:rPr>
            </w:pPr>
            <w:r>
              <w:rPr>
                <w:rFonts w:hint="eastAsia" w:ascii="仿宋" w:hAnsi="仿宋" w:eastAsia="仿宋" w:cs="仿宋"/>
                <w:color w:val="000000"/>
                <w:kern w:val="0"/>
                <w:sz w:val="24"/>
              </w:rPr>
              <w:t>3.4 民族教育</w:t>
            </w:r>
          </w:p>
        </w:tc>
        <w:tc>
          <w:tcPr>
            <w:tcW w:w="6042" w:type="dxa"/>
            <w:vAlign w:val="center"/>
          </w:tcPr>
          <w:p>
            <w:pPr>
              <w:widowControl/>
              <w:adjustRightInd w:val="0"/>
              <w:snapToGrid w:val="0"/>
              <w:spacing w:line="420" w:lineRule="exact"/>
              <w:jc w:val="left"/>
              <w:rPr>
                <w:rFonts w:ascii="仿宋" w:hAnsi="仿宋" w:eastAsia="仿宋" w:cs="仿宋"/>
                <w:color w:val="000000"/>
                <w:kern w:val="0"/>
                <w:sz w:val="24"/>
              </w:rPr>
            </w:pPr>
            <w:r>
              <w:rPr>
                <w:rFonts w:hint="eastAsia" w:ascii="仿宋" w:hAnsi="仿宋" w:eastAsia="仿宋" w:cs="仿宋"/>
                <w:color w:val="000000"/>
                <w:kern w:val="0"/>
                <w:sz w:val="24"/>
              </w:rPr>
              <w:t>有效开展多种形式的少数民族学风建设活动，少数民族学生学业帮扶效果好，学生成绩有明显提升。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50" w:type="dxa"/>
            <w:vMerge w:val="restart"/>
            <w:vAlign w:val="center"/>
          </w:tcPr>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工作</w:t>
            </w:r>
          </w:p>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成效</w:t>
            </w:r>
          </w:p>
        </w:tc>
        <w:tc>
          <w:tcPr>
            <w:tcW w:w="1920" w:type="dxa"/>
            <w:vAlign w:val="center"/>
          </w:tcPr>
          <w:p>
            <w:pPr>
              <w:widowControl/>
              <w:adjustRightInd w:val="0"/>
              <w:snapToGrid w:val="0"/>
              <w:spacing w:line="420" w:lineRule="exact"/>
              <w:jc w:val="center"/>
              <w:rPr>
                <w:rFonts w:ascii="仿宋" w:hAnsi="仿宋" w:eastAsia="仿宋" w:cs="仿宋"/>
                <w:color w:val="000000"/>
                <w:kern w:val="0"/>
                <w:sz w:val="24"/>
              </w:rPr>
            </w:pPr>
            <w:r>
              <w:rPr>
                <w:rFonts w:hint="eastAsia" w:ascii="仿宋" w:hAnsi="仿宋" w:eastAsia="仿宋" w:cs="仿宋"/>
                <w:color w:val="000000"/>
                <w:kern w:val="0"/>
                <w:sz w:val="24"/>
              </w:rPr>
              <w:t>4.1学业成效</w:t>
            </w:r>
          </w:p>
        </w:tc>
        <w:tc>
          <w:tcPr>
            <w:tcW w:w="6042" w:type="dxa"/>
            <w:vAlign w:val="center"/>
          </w:tcPr>
          <w:p>
            <w:pPr>
              <w:widowControl/>
              <w:adjustRightInd w:val="0"/>
              <w:snapToGrid w:val="0"/>
              <w:spacing w:line="420" w:lineRule="exact"/>
              <w:jc w:val="left"/>
              <w:rPr>
                <w:rFonts w:ascii="仿宋" w:hAnsi="仿宋" w:eastAsia="仿宋" w:cs="仿宋"/>
                <w:color w:val="000000"/>
                <w:kern w:val="0"/>
                <w:sz w:val="24"/>
              </w:rPr>
            </w:pPr>
            <w:r>
              <w:rPr>
                <w:rFonts w:hint="eastAsia" w:ascii="仿宋" w:hAnsi="仿宋" w:eastAsia="仿宋" w:cs="仿宋"/>
                <w:color w:val="000000"/>
                <w:kern w:val="0"/>
                <w:sz w:val="24"/>
              </w:rPr>
              <w:t>学院各专业平均绩点提升，挂科率降低，学业预警学生人数减少，四级通过率提高，考研成功率提高；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50" w:type="dxa"/>
            <w:vMerge w:val="continue"/>
            <w:vAlign w:val="center"/>
          </w:tcPr>
          <w:p>
            <w:pPr>
              <w:widowControl/>
              <w:adjustRightInd w:val="0"/>
              <w:snapToGrid w:val="0"/>
              <w:spacing w:line="420" w:lineRule="exact"/>
              <w:jc w:val="center"/>
              <w:rPr>
                <w:rFonts w:ascii="仿宋" w:hAnsi="仿宋" w:eastAsia="仿宋" w:cs="仿宋"/>
                <w:b/>
                <w:bCs/>
                <w:color w:val="000000"/>
                <w:kern w:val="0"/>
                <w:sz w:val="24"/>
              </w:rPr>
            </w:pPr>
          </w:p>
        </w:tc>
        <w:tc>
          <w:tcPr>
            <w:tcW w:w="1920" w:type="dxa"/>
            <w:vAlign w:val="center"/>
          </w:tcPr>
          <w:p>
            <w:pPr>
              <w:widowControl/>
              <w:adjustRightInd w:val="0"/>
              <w:snapToGrid w:val="0"/>
              <w:spacing w:line="420" w:lineRule="exact"/>
              <w:jc w:val="center"/>
              <w:rPr>
                <w:rFonts w:ascii="仿宋" w:hAnsi="仿宋" w:eastAsia="仿宋" w:cs="仿宋"/>
                <w:color w:val="000000"/>
                <w:kern w:val="0"/>
                <w:sz w:val="24"/>
              </w:rPr>
            </w:pPr>
            <w:r>
              <w:rPr>
                <w:rFonts w:hint="eastAsia" w:ascii="仿宋" w:hAnsi="仿宋" w:eastAsia="仿宋" w:cs="仿宋"/>
                <w:color w:val="000000"/>
                <w:kern w:val="0"/>
                <w:sz w:val="24"/>
              </w:rPr>
              <w:t>4.2学风氛围</w:t>
            </w:r>
          </w:p>
        </w:tc>
        <w:tc>
          <w:tcPr>
            <w:tcW w:w="6042" w:type="dxa"/>
            <w:vAlign w:val="center"/>
          </w:tcPr>
          <w:p>
            <w:pPr>
              <w:widowControl/>
              <w:adjustRightInd w:val="0"/>
              <w:snapToGrid w:val="0"/>
              <w:spacing w:line="420" w:lineRule="exact"/>
              <w:jc w:val="left"/>
              <w:rPr>
                <w:rFonts w:ascii="仿宋" w:hAnsi="仿宋" w:eastAsia="仿宋" w:cs="仿宋"/>
                <w:color w:val="000000"/>
                <w:kern w:val="0"/>
                <w:sz w:val="24"/>
              </w:rPr>
            </w:pPr>
            <w:r>
              <w:rPr>
                <w:rFonts w:hint="eastAsia" w:ascii="仿宋" w:hAnsi="仿宋" w:eastAsia="仿宋" w:cs="仿宋"/>
                <w:color w:val="000000"/>
                <w:kern w:val="0"/>
                <w:sz w:val="24"/>
              </w:rPr>
              <w:t>学院学风氛围优秀，先进典型和学生榜样示范引领作用强，学生对于学院学风建设工作满意度高。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50" w:type="dxa"/>
            <w:vAlign w:val="center"/>
          </w:tcPr>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特色</w:t>
            </w:r>
          </w:p>
          <w:p>
            <w:pPr>
              <w:widowControl/>
              <w:adjustRightInd w:val="0"/>
              <w:snapToGrid w:val="0"/>
              <w:spacing w:line="42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w:t>
            </w:r>
          </w:p>
        </w:tc>
        <w:tc>
          <w:tcPr>
            <w:tcW w:w="1920" w:type="dxa"/>
            <w:vAlign w:val="center"/>
          </w:tcPr>
          <w:p>
            <w:pPr>
              <w:widowControl/>
              <w:adjustRightInd w:val="0"/>
              <w:snapToGrid w:val="0"/>
              <w:spacing w:line="420" w:lineRule="exact"/>
              <w:jc w:val="center"/>
              <w:rPr>
                <w:rFonts w:ascii="仿宋" w:hAnsi="仿宋" w:eastAsia="仿宋" w:cs="仿宋"/>
                <w:color w:val="000000"/>
                <w:kern w:val="0"/>
                <w:sz w:val="24"/>
              </w:rPr>
            </w:pPr>
            <w:r>
              <w:rPr>
                <w:rFonts w:hint="eastAsia" w:ascii="仿宋" w:hAnsi="仿宋" w:eastAsia="仿宋" w:cs="仿宋"/>
                <w:color w:val="000000"/>
                <w:kern w:val="0"/>
                <w:sz w:val="24"/>
              </w:rPr>
              <w:t>5.1特色工作</w:t>
            </w:r>
          </w:p>
        </w:tc>
        <w:tc>
          <w:tcPr>
            <w:tcW w:w="6042" w:type="dxa"/>
            <w:vAlign w:val="center"/>
          </w:tcPr>
          <w:p>
            <w:pPr>
              <w:widowControl/>
              <w:adjustRightInd w:val="0"/>
              <w:snapToGrid w:val="0"/>
              <w:spacing w:line="420" w:lineRule="exact"/>
              <w:jc w:val="left"/>
              <w:rPr>
                <w:rFonts w:ascii="仿宋" w:hAnsi="仿宋" w:eastAsia="仿宋" w:cs="仿宋"/>
                <w:color w:val="000000"/>
                <w:kern w:val="0"/>
                <w:sz w:val="24"/>
              </w:rPr>
            </w:pPr>
            <w:r>
              <w:rPr>
                <w:rFonts w:hint="eastAsia" w:ascii="仿宋" w:hAnsi="仿宋" w:eastAsia="仿宋" w:cs="仿宋"/>
                <w:color w:val="000000"/>
                <w:kern w:val="0"/>
                <w:sz w:val="24"/>
              </w:rPr>
              <w:t>在长期学风建设工作中形成优秀示范做法，在全校内具有影响力和推广性。</w:t>
            </w:r>
          </w:p>
        </w:tc>
      </w:tr>
    </w:tbl>
    <w:p>
      <w:pPr>
        <w:spacing w:line="360" w:lineRule="auto"/>
        <w:jc w:val="both"/>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874D4"/>
    <w:rsid w:val="3269140E"/>
    <w:rsid w:val="38CA1EAA"/>
    <w:rsid w:val="564336BF"/>
    <w:rsid w:val="65072B8A"/>
    <w:rsid w:val="78B874D4"/>
    <w:rsid w:val="7A164791"/>
    <w:rsid w:val="7BD0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2021-10-22T01:28:00Z</dcterms:created>
  <dc:creator>郭倩茹</dc:creator>
  <cp:lastModifiedBy>吾尔古丽</cp:lastModifiedBy>
  <cp:lastPrinted>2021-11-03T06:11:00Z</cp:lastPrinted>
  <dcterms:modified xsi:type="dcterms:W3CDTF">2021-11-08T07:48:33Z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D057F1C3683F407BA44D5EB9112EB8D5</vt:lpwstr>
  </property>
</Properties>
</file>